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adjustRightInd w:val="0"/>
        <w:snapToGrid w:val="0"/>
        <w:spacing w:line="360" w:lineRule="auto"/>
        <w:ind w:firstLine="640"/>
        <w:rPr>
          <w:color w:val="auto"/>
        </w:rPr>
      </w:pPr>
      <w:bookmarkStart w:id="325" w:name="_GoBack"/>
      <w:bookmarkEnd w:id="325"/>
    </w:p>
    <w:p>
      <w:pPr>
        <w:adjustRightInd w:val="0"/>
        <w:snapToGrid w:val="0"/>
        <w:spacing w:line="360" w:lineRule="auto"/>
        <w:jc w:val="center"/>
        <w:rPr>
          <w:rFonts w:ascii="黑体" w:hAnsi="黑体" w:eastAsia="黑体" w:cs="Times New Roman"/>
          <w:color w:val="auto"/>
          <w:sz w:val="36"/>
          <w:szCs w:val="44"/>
        </w:rPr>
      </w:pPr>
    </w:p>
    <w:p>
      <w:pPr>
        <w:adjustRightInd w:val="0"/>
        <w:snapToGrid w:val="0"/>
        <w:spacing w:line="360" w:lineRule="auto"/>
        <w:ind w:firstLine="0" w:firstLineChars="0"/>
        <w:jc w:val="center"/>
        <w:rPr>
          <w:rFonts w:ascii="黑体" w:hAnsi="黑体" w:eastAsia="黑体" w:cs="Times New Roman"/>
          <w:color w:val="auto"/>
          <w:sz w:val="52"/>
          <w:szCs w:val="48"/>
        </w:rPr>
      </w:pPr>
      <w:bookmarkStart w:id="0" w:name="_Toc54773009"/>
      <w:r>
        <w:rPr>
          <w:rFonts w:hint="eastAsia" w:ascii="黑体" w:hAnsi="黑体" w:eastAsia="黑体" w:cs="Times New Roman"/>
          <w:color w:val="auto"/>
          <w:sz w:val="52"/>
          <w:szCs w:val="48"/>
        </w:rPr>
        <w:t>武汉经济技术开发区</w:t>
      </w:r>
    </w:p>
    <w:p>
      <w:pPr>
        <w:adjustRightInd w:val="0"/>
        <w:snapToGrid w:val="0"/>
        <w:spacing w:line="360" w:lineRule="auto"/>
        <w:ind w:firstLine="0" w:firstLineChars="0"/>
        <w:jc w:val="center"/>
        <w:rPr>
          <w:rFonts w:ascii="黑体" w:hAnsi="黑体" w:eastAsia="黑体" w:cs="Times New Roman"/>
          <w:color w:val="auto"/>
          <w:sz w:val="52"/>
          <w:szCs w:val="48"/>
        </w:rPr>
      </w:pPr>
      <w:r>
        <w:rPr>
          <w:rFonts w:hint="eastAsia" w:ascii="黑体" w:hAnsi="黑体" w:eastAsia="黑体" w:cs="Times New Roman"/>
          <w:color w:val="auto"/>
          <w:sz w:val="52"/>
          <w:szCs w:val="48"/>
        </w:rPr>
        <w:t>“十四五”科技创新规划</w:t>
      </w:r>
    </w:p>
    <w:p>
      <w:pPr>
        <w:adjustRightInd w:val="0"/>
        <w:snapToGrid w:val="0"/>
        <w:spacing w:line="360" w:lineRule="auto"/>
        <w:ind w:firstLine="0" w:firstLineChars="0"/>
        <w:jc w:val="center"/>
        <w:rPr>
          <w:rFonts w:ascii="黑体" w:hAnsi="黑体" w:eastAsia="黑体" w:cs="Times New Roman"/>
          <w:color w:val="auto"/>
          <w:sz w:val="48"/>
          <w:szCs w:val="48"/>
        </w:rPr>
      </w:pPr>
    </w:p>
    <w:p>
      <w:pPr>
        <w:adjustRightInd w:val="0"/>
        <w:snapToGrid w:val="0"/>
        <w:spacing w:line="360" w:lineRule="auto"/>
        <w:ind w:firstLine="0" w:firstLineChars="0"/>
        <w:jc w:val="center"/>
        <w:rPr>
          <w:rFonts w:ascii="黑体" w:hAnsi="黑体" w:eastAsia="黑体" w:cs="Times New Roman"/>
          <w:color w:val="auto"/>
          <w:sz w:val="48"/>
          <w:szCs w:val="48"/>
        </w:rPr>
      </w:pPr>
    </w:p>
    <w:p>
      <w:pPr>
        <w:adjustRightInd w:val="0"/>
        <w:snapToGrid w:val="0"/>
        <w:spacing w:line="360" w:lineRule="auto"/>
        <w:ind w:firstLine="0" w:firstLineChars="0"/>
        <w:jc w:val="center"/>
        <w:rPr>
          <w:rFonts w:ascii="黑体" w:hAnsi="黑体" w:eastAsia="黑体" w:cs="Times New Roman"/>
          <w:color w:val="auto"/>
          <w:sz w:val="48"/>
          <w:szCs w:val="48"/>
        </w:rPr>
      </w:pPr>
    </w:p>
    <w:p>
      <w:pPr>
        <w:adjustRightInd w:val="0"/>
        <w:snapToGrid w:val="0"/>
        <w:spacing w:line="360" w:lineRule="auto"/>
        <w:ind w:firstLine="0" w:firstLineChars="0"/>
        <w:jc w:val="center"/>
        <w:rPr>
          <w:rFonts w:ascii="黑体" w:hAnsi="黑体" w:eastAsia="黑体" w:cs="Times New Roman"/>
          <w:color w:val="auto"/>
          <w:sz w:val="48"/>
          <w:szCs w:val="48"/>
        </w:rPr>
      </w:pPr>
    </w:p>
    <w:p>
      <w:pPr>
        <w:adjustRightInd w:val="0"/>
        <w:snapToGrid w:val="0"/>
        <w:spacing w:line="360" w:lineRule="auto"/>
        <w:ind w:firstLine="0" w:firstLineChars="0"/>
        <w:jc w:val="center"/>
        <w:rPr>
          <w:rFonts w:ascii="黑体" w:hAnsi="黑体" w:eastAsia="黑体" w:cs="Times New Roman"/>
          <w:color w:val="auto"/>
          <w:sz w:val="48"/>
          <w:szCs w:val="48"/>
        </w:rPr>
      </w:pPr>
    </w:p>
    <w:p>
      <w:pPr>
        <w:pStyle w:val="9"/>
        <w:adjustRightInd w:val="0"/>
        <w:snapToGrid w:val="0"/>
        <w:spacing w:line="360" w:lineRule="auto"/>
        <w:ind w:firstLine="960"/>
        <w:rPr>
          <w:rFonts w:ascii="黑体" w:hAnsi="黑体" w:eastAsia="黑体" w:cs="Times New Roman"/>
          <w:color w:val="auto"/>
          <w:sz w:val="48"/>
          <w:szCs w:val="48"/>
        </w:rPr>
      </w:pPr>
    </w:p>
    <w:p>
      <w:pPr>
        <w:pStyle w:val="9"/>
        <w:adjustRightInd w:val="0"/>
        <w:snapToGrid w:val="0"/>
        <w:spacing w:line="360" w:lineRule="auto"/>
        <w:ind w:firstLine="960"/>
        <w:rPr>
          <w:rFonts w:ascii="黑体" w:hAnsi="黑体" w:eastAsia="黑体" w:cs="Times New Roman"/>
          <w:color w:val="auto"/>
          <w:sz w:val="48"/>
          <w:szCs w:val="48"/>
        </w:rPr>
      </w:pPr>
    </w:p>
    <w:p>
      <w:pPr>
        <w:adjustRightInd w:val="0"/>
        <w:snapToGrid w:val="0"/>
        <w:spacing w:line="360" w:lineRule="auto"/>
        <w:ind w:firstLine="0" w:firstLineChars="0"/>
        <w:jc w:val="center"/>
        <w:rPr>
          <w:rFonts w:ascii="黑体" w:hAnsi="黑体" w:eastAsia="黑体" w:cs="Times New Roman"/>
          <w:color w:val="auto"/>
          <w:szCs w:val="32"/>
        </w:rPr>
      </w:pPr>
    </w:p>
    <w:p>
      <w:pPr>
        <w:adjustRightInd w:val="0"/>
        <w:snapToGrid w:val="0"/>
        <w:spacing w:line="360" w:lineRule="auto"/>
        <w:ind w:firstLine="0" w:firstLineChars="0"/>
        <w:jc w:val="center"/>
        <w:rPr>
          <w:rFonts w:ascii="黑体" w:hAnsi="黑体" w:eastAsia="黑体" w:cs="Times New Roman"/>
          <w:color w:val="auto"/>
          <w:szCs w:val="32"/>
        </w:rPr>
      </w:pPr>
      <w:r>
        <w:rPr>
          <w:rFonts w:hint="eastAsia" w:ascii="黑体" w:hAnsi="黑体" w:eastAsia="黑体" w:cs="Times New Roman"/>
          <w:color w:val="auto"/>
          <w:szCs w:val="32"/>
        </w:rPr>
        <w:t>武汉经济技术开发区管理委员会</w:t>
      </w:r>
    </w:p>
    <w:p>
      <w:pPr>
        <w:adjustRightInd w:val="0"/>
        <w:snapToGrid w:val="0"/>
        <w:spacing w:line="360" w:lineRule="auto"/>
        <w:ind w:firstLine="0" w:firstLineChars="0"/>
        <w:jc w:val="center"/>
        <w:rPr>
          <w:rFonts w:ascii="黑体" w:hAnsi="黑体" w:eastAsia="黑体"/>
          <w:color w:val="auto"/>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eastAsia" w:ascii="黑体" w:hAnsi="黑体" w:eastAsia="黑体" w:cs="Times New Roman"/>
          <w:color w:val="auto"/>
          <w:szCs w:val="32"/>
        </w:rPr>
        <w:t>2</w:t>
      </w:r>
      <w:r>
        <w:rPr>
          <w:rFonts w:ascii="黑体" w:hAnsi="黑体" w:eastAsia="黑体" w:cs="Times New Roman"/>
          <w:color w:val="auto"/>
          <w:szCs w:val="32"/>
        </w:rPr>
        <w:t>02</w:t>
      </w:r>
      <w:r>
        <w:rPr>
          <w:rFonts w:hint="eastAsia" w:ascii="黑体" w:hAnsi="黑体" w:eastAsia="黑体" w:cs="Times New Roman"/>
          <w:color w:val="auto"/>
          <w:szCs w:val="32"/>
        </w:rPr>
        <w:t>2</w:t>
      </w:r>
      <w:r>
        <w:rPr>
          <w:rFonts w:ascii="黑体" w:hAnsi="黑体" w:eastAsia="黑体" w:cs="Times New Roman"/>
          <w:color w:val="auto"/>
          <w:szCs w:val="32"/>
        </w:rPr>
        <w:t>年8</w:t>
      </w:r>
      <w:r>
        <w:rPr>
          <w:rFonts w:hint="eastAsia" w:ascii="黑体" w:hAnsi="黑体" w:eastAsia="黑体" w:cs="Times New Roman"/>
          <w:color w:val="auto"/>
          <w:szCs w:val="32"/>
        </w:rPr>
        <w:t>月</w:t>
      </w:r>
      <w:bookmarkEnd w:id="0"/>
    </w:p>
    <w:p>
      <w:pPr>
        <w:autoSpaceDE w:val="0"/>
        <w:autoSpaceDN w:val="0"/>
        <w:adjustRightInd w:val="0"/>
        <w:snapToGrid w:val="0"/>
        <w:spacing w:line="360" w:lineRule="auto"/>
        <w:ind w:firstLine="0" w:firstLineChars="0"/>
        <w:jc w:val="center"/>
        <w:rPr>
          <w:rFonts w:ascii="黑体" w:hAnsi="黑体" w:eastAsia="黑体" w:cs="黑体"/>
          <w:b/>
          <w:bCs/>
          <w:color w:val="auto"/>
          <w:sz w:val="36"/>
          <w:szCs w:val="44"/>
        </w:rPr>
      </w:pPr>
      <w:bookmarkStart w:id="1" w:name="_Toc29353"/>
      <w:bookmarkStart w:id="2" w:name="_Toc19886"/>
      <w:bookmarkStart w:id="3" w:name="_Toc57"/>
      <w:bookmarkStart w:id="4" w:name="_Toc12910"/>
      <w:bookmarkStart w:id="5" w:name="_Toc16990"/>
      <w:bookmarkStart w:id="6" w:name="_Toc12506"/>
      <w:bookmarkStart w:id="7" w:name="_Toc20589"/>
      <w:bookmarkStart w:id="8" w:name="_Toc15856"/>
      <w:bookmarkStart w:id="9" w:name="_Toc28217"/>
      <w:bookmarkStart w:id="10" w:name="_Toc29624"/>
      <w:bookmarkStart w:id="11" w:name="_Toc13124"/>
      <w:bookmarkStart w:id="12" w:name="_Toc25269"/>
      <w:bookmarkStart w:id="13" w:name="_Toc15234"/>
      <w:bookmarkStart w:id="14" w:name="_Toc24535"/>
      <w:bookmarkStart w:id="15" w:name="_Toc22902"/>
      <w:bookmarkStart w:id="16" w:name="_Toc27119"/>
      <w:bookmarkStart w:id="17" w:name="_Toc11999"/>
      <w:bookmarkStart w:id="18" w:name="_Toc20481"/>
      <w:bookmarkStart w:id="19" w:name="_Toc11228"/>
      <w:bookmarkStart w:id="20" w:name="_Toc26821"/>
      <w:r>
        <w:rPr>
          <w:rFonts w:hint="eastAsia" w:ascii="黑体" w:hAnsi="黑体" w:eastAsia="黑体" w:cs="黑体"/>
          <w:b/>
          <w:bCs/>
          <w:color w:val="auto"/>
          <w:sz w:val="36"/>
          <w:szCs w:val="44"/>
        </w:rPr>
        <w:t>目  录</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pPr>
        <w:pStyle w:val="10"/>
        <w:adjustRightInd w:val="0"/>
        <w:snapToGrid w:val="0"/>
        <w:spacing w:line="360" w:lineRule="auto"/>
        <w:ind w:firstLine="0" w:firstLineChars="0"/>
        <w:rPr>
          <w:color w:val="auto"/>
        </w:rPr>
      </w:pPr>
    </w:p>
    <w:p>
      <w:pPr>
        <w:pStyle w:val="15"/>
        <w:tabs>
          <w:tab w:val="right" w:leader="dot" w:pos="8306"/>
        </w:tabs>
        <w:ind w:firstLine="0" w:firstLineChars="0"/>
      </w:pPr>
      <w:r>
        <w:rPr>
          <w:rFonts w:ascii="Times New Roman" w:hAnsi="Times New Roman" w:eastAsia="黑体" w:cs="Times New Roman"/>
          <w:color w:val="auto"/>
          <w:sz w:val="30"/>
          <w:szCs w:val="30"/>
        </w:rPr>
        <w:fldChar w:fldCharType="begin"/>
      </w:r>
      <w:r>
        <w:rPr>
          <w:rFonts w:ascii="Times New Roman" w:hAnsi="Times New Roman" w:eastAsia="黑体" w:cs="Times New Roman"/>
          <w:color w:val="auto"/>
          <w:sz w:val="30"/>
          <w:szCs w:val="30"/>
        </w:rPr>
        <w:instrText xml:space="preserve">TOC \o "1-2" \h \u </w:instrText>
      </w:r>
      <w:r>
        <w:rPr>
          <w:rFonts w:ascii="Times New Roman" w:hAnsi="Times New Roman" w:eastAsia="黑体" w:cs="Times New Roman"/>
          <w:color w:val="auto"/>
          <w:sz w:val="30"/>
          <w:szCs w:val="30"/>
        </w:rPr>
        <w:fldChar w:fldCharType="separate"/>
      </w:r>
      <w:r>
        <w:fldChar w:fldCharType="begin"/>
      </w:r>
      <w:r>
        <w:instrText xml:space="preserve"> HYPERLINK \l "_Toc21708" </w:instrText>
      </w:r>
      <w:r>
        <w:fldChar w:fldCharType="separate"/>
      </w:r>
      <w:r>
        <w:rPr>
          <w:rFonts w:hint="eastAsia" w:ascii="黑体" w:hAnsi="黑体" w:eastAsia="黑体" w:cs="Times New Roman"/>
          <w:bCs/>
          <w:szCs w:val="36"/>
        </w:rPr>
        <w:t>前  言</w:t>
      </w:r>
      <w:r>
        <w:tab/>
      </w:r>
      <w:r>
        <w:fldChar w:fldCharType="begin"/>
      </w:r>
      <w:r>
        <w:instrText xml:space="preserve"> PAGEREF _Toc21708 \h </w:instrText>
      </w:r>
      <w:r>
        <w:fldChar w:fldCharType="separate"/>
      </w:r>
      <w:r>
        <w:t>1</w:t>
      </w:r>
      <w:r>
        <w:fldChar w:fldCharType="end"/>
      </w:r>
      <w:r>
        <w:fldChar w:fldCharType="end"/>
      </w:r>
    </w:p>
    <w:p>
      <w:pPr>
        <w:pStyle w:val="15"/>
        <w:tabs>
          <w:tab w:val="right" w:leader="dot" w:pos="8306"/>
        </w:tabs>
        <w:ind w:firstLine="0" w:firstLineChars="0"/>
      </w:pPr>
      <w:r>
        <w:fldChar w:fldCharType="begin"/>
      </w:r>
      <w:r>
        <w:instrText xml:space="preserve"> HYPERLINK \l "_Toc29849" </w:instrText>
      </w:r>
      <w:r>
        <w:fldChar w:fldCharType="separate"/>
      </w:r>
      <w:r>
        <w:rPr>
          <w:rFonts w:hint="eastAsia" w:ascii="黑体" w:hAnsi="黑体" w:eastAsia="黑体" w:cs="Times New Roman"/>
          <w:szCs w:val="32"/>
        </w:rPr>
        <w:t>一、发展基础与形势</w:t>
      </w:r>
      <w:r>
        <w:tab/>
      </w:r>
      <w:r>
        <w:fldChar w:fldCharType="begin"/>
      </w:r>
      <w:r>
        <w:instrText xml:space="preserve"> PAGEREF _Toc29849 \h </w:instrText>
      </w:r>
      <w:r>
        <w:fldChar w:fldCharType="separate"/>
      </w:r>
      <w:r>
        <w:t>2</w:t>
      </w:r>
      <w:r>
        <w:fldChar w:fldCharType="end"/>
      </w:r>
      <w:r>
        <w:fldChar w:fldCharType="end"/>
      </w:r>
    </w:p>
    <w:p>
      <w:pPr>
        <w:pStyle w:val="18"/>
        <w:tabs>
          <w:tab w:val="right" w:leader="dot" w:pos="8306"/>
        </w:tabs>
        <w:ind w:left="0" w:leftChars="0" w:firstLine="0" w:firstLineChars="0"/>
      </w:pPr>
      <w:r>
        <w:fldChar w:fldCharType="begin"/>
      </w:r>
      <w:r>
        <w:instrText xml:space="preserve"> HYPERLINK \l "_Toc32562" </w:instrText>
      </w:r>
      <w:r>
        <w:fldChar w:fldCharType="separate"/>
      </w:r>
      <w:r>
        <w:rPr>
          <w:rFonts w:hint="eastAsia" w:ascii="华文中宋" w:hAnsi="华文中宋" w:eastAsia="华文中宋" w:cs="Times New Roman"/>
          <w:szCs w:val="32"/>
        </w:rPr>
        <w:t>（一）“十三五”科技创新发展基础</w:t>
      </w:r>
      <w:r>
        <w:tab/>
      </w:r>
      <w:r>
        <w:fldChar w:fldCharType="begin"/>
      </w:r>
      <w:r>
        <w:instrText xml:space="preserve"> PAGEREF _Toc32562 \h </w:instrText>
      </w:r>
      <w:r>
        <w:fldChar w:fldCharType="separate"/>
      </w:r>
      <w:r>
        <w:t>2</w:t>
      </w:r>
      <w:r>
        <w:fldChar w:fldCharType="end"/>
      </w:r>
      <w:r>
        <w:fldChar w:fldCharType="end"/>
      </w:r>
    </w:p>
    <w:p>
      <w:pPr>
        <w:pStyle w:val="18"/>
        <w:tabs>
          <w:tab w:val="right" w:leader="dot" w:pos="8306"/>
        </w:tabs>
        <w:ind w:left="0" w:leftChars="0" w:firstLine="0" w:firstLineChars="0"/>
      </w:pPr>
      <w:r>
        <w:fldChar w:fldCharType="begin"/>
      </w:r>
      <w:r>
        <w:instrText xml:space="preserve"> HYPERLINK \l "_Toc28630" </w:instrText>
      </w:r>
      <w:r>
        <w:fldChar w:fldCharType="separate"/>
      </w:r>
      <w:r>
        <w:rPr>
          <w:rFonts w:hint="eastAsia" w:ascii="华文中宋" w:hAnsi="华文中宋" w:eastAsia="华文中宋" w:cs="Times New Roman"/>
          <w:szCs w:val="32"/>
        </w:rPr>
        <w:t>（二）“十四五”科技创新发展形势</w:t>
      </w:r>
      <w:r>
        <w:tab/>
      </w:r>
      <w:r>
        <w:fldChar w:fldCharType="begin"/>
      </w:r>
      <w:r>
        <w:instrText xml:space="preserve"> PAGEREF _Toc28630 \h </w:instrText>
      </w:r>
      <w:r>
        <w:fldChar w:fldCharType="separate"/>
      </w:r>
      <w:r>
        <w:t>6</w:t>
      </w:r>
      <w:r>
        <w:fldChar w:fldCharType="end"/>
      </w:r>
      <w:r>
        <w:fldChar w:fldCharType="end"/>
      </w:r>
    </w:p>
    <w:p>
      <w:pPr>
        <w:pStyle w:val="15"/>
        <w:tabs>
          <w:tab w:val="right" w:leader="dot" w:pos="8306"/>
        </w:tabs>
        <w:ind w:firstLine="0" w:firstLineChars="0"/>
      </w:pPr>
      <w:r>
        <w:fldChar w:fldCharType="begin"/>
      </w:r>
      <w:r>
        <w:instrText xml:space="preserve"> HYPERLINK \l "_Toc16722" </w:instrText>
      </w:r>
      <w:r>
        <w:fldChar w:fldCharType="separate"/>
      </w:r>
      <w:r>
        <w:rPr>
          <w:rFonts w:hint="eastAsia" w:ascii="黑体" w:hAnsi="黑体" w:eastAsia="黑体" w:cs="Times New Roman"/>
          <w:szCs w:val="32"/>
        </w:rPr>
        <w:t>二、总体思路与目标</w:t>
      </w:r>
      <w:r>
        <w:tab/>
      </w:r>
      <w:r>
        <w:fldChar w:fldCharType="begin"/>
      </w:r>
      <w:r>
        <w:instrText xml:space="preserve"> PAGEREF _Toc16722 \h </w:instrText>
      </w:r>
      <w:r>
        <w:fldChar w:fldCharType="separate"/>
      </w:r>
      <w:r>
        <w:t>9</w:t>
      </w:r>
      <w:r>
        <w:fldChar w:fldCharType="end"/>
      </w:r>
      <w:r>
        <w:fldChar w:fldCharType="end"/>
      </w:r>
    </w:p>
    <w:p>
      <w:pPr>
        <w:pStyle w:val="18"/>
        <w:tabs>
          <w:tab w:val="right" w:leader="dot" w:pos="8306"/>
        </w:tabs>
        <w:ind w:left="0" w:leftChars="0" w:firstLine="0" w:firstLineChars="0"/>
      </w:pPr>
      <w:r>
        <w:fldChar w:fldCharType="begin"/>
      </w:r>
      <w:r>
        <w:instrText xml:space="preserve"> HYPERLINK \l "_Toc9366" </w:instrText>
      </w:r>
      <w:r>
        <w:fldChar w:fldCharType="separate"/>
      </w:r>
      <w:r>
        <w:rPr>
          <w:rFonts w:hint="eastAsia" w:ascii="华文中宋" w:hAnsi="华文中宋" w:eastAsia="华文中宋"/>
          <w:szCs w:val="32"/>
        </w:rPr>
        <w:t>（一）指导思想</w:t>
      </w:r>
      <w:r>
        <w:tab/>
      </w:r>
      <w:r>
        <w:fldChar w:fldCharType="begin"/>
      </w:r>
      <w:r>
        <w:instrText xml:space="preserve"> PAGEREF _Toc9366 \h </w:instrText>
      </w:r>
      <w:r>
        <w:fldChar w:fldCharType="separate"/>
      </w:r>
      <w:r>
        <w:t>9</w:t>
      </w:r>
      <w:r>
        <w:fldChar w:fldCharType="end"/>
      </w:r>
      <w:r>
        <w:fldChar w:fldCharType="end"/>
      </w:r>
    </w:p>
    <w:p>
      <w:pPr>
        <w:pStyle w:val="18"/>
        <w:tabs>
          <w:tab w:val="right" w:leader="dot" w:pos="8306"/>
        </w:tabs>
        <w:ind w:left="0" w:leftChars="0" w:firstLine="0" w:firstLineChars="0"/>
      </w:pPr>
      <w:r>
        <w:fldChar w:fldCharType="begin"/>
      </w:r>
      <w:r>
        <w:instrText xml:space="preserve"> HYPERLINK \l "_Toc28111" </w:instrText>
      </w:r>
      <w:r>
        <w:fldChar w:fldCharType="separate"/>
      </w:r>
      <w:r>
        <w:rPr>
          <w:rFonts w:hint="eastAsia" w:ascii="华文中宋" w:hAnsi="华文中宋" w:eastAsia="华文中宋"/>
          <w:szCs w:val="32"/>
        </w:rPr>
        <w:t>（二）发展原则</w:t>
      </w:r>
      <w:r>
        <w:tab/>
      </w:r>
      <w:r>
        <w:fldChar w:fldCharType="begin"/>
      </w:r>
      <w:r>
        <w:instrText xml:space="preserve"> PAGEREF _Toc28111 \h </w:instrText>
      </w:r>
      <w:r>
        <w:fldChar w:fldCharType="separate"/>
      </w:r>
      <w:r>
        <w:t>9</w:t>
      </w:r>
      <w:r>
        <w:fldChar w:fldCharType="end"/>
      </w:r>
      <w:r>
        <w:fldChar w:fldCharType="end"/>
      </w:r>
    </w:p>
    <w:p>
      <w:pPr>
        <w:pStyle w:val="18"/>
        <w:tabs>
          <w:tab w:val="right" w:leader="dot" w:pos="8306"/>
        </w:tabs>
        <w:ind w:left="0" w:leftChars="0" w:firstLine="0" w:firstLineChars="0"/>
      </w:pPr>
      <w:r>
        <w:fldChar w:fldCharType="begin"/>
      </w:r>
      <w:r>
        <w:instrText xml:space="preserve"> HYPERLINK \l "_Toc2693" </w:instrText>
      </w:r>
      <w:r>
        <w:fldChar w:fldCharType="separate"/>
      </w:r>
      <w:r>
        <w:rPr>
          <w:rFonts w:hint="eastAsia" w:ascii="华文中宋" w:hAnsi="华文中宋" w:eastAsia="华文中宋"/>
          <w:szCs w:val="32"/>
        </w:rPr>
        <w:t>（三）发展目标</w:t>
      </w:r>
      <w:r>
        <w:tab/>
      </w:r>
      <w:r>
        <w:fldChar w:fldCharType="begin"/>
      </w:r>
      <w:r>
        <w:instrText xml:space="preserve"> PAGEREF _Toc2693 \h </w:instrText>
      </w:r>
      <w:r>
        <w:fldChar w:fldCharType="separate"/>
      </w:r>
      <w:r>
        <w:t>10</w:t>
      </w:r>
      <w:r>
        <w:fldChar w:fldCharType="end"/>
      </w:r>
      <w:r>
        <w:fldChar w:fldCharType="end"/>
      </w:r>
    </w:p>
    <w:p>
      <w:pPr>
        <w:pStyle w:val="15"/>
        <w:tabs>
          <w:tab w:val="right" w:leader="dot" w:pos="8306"/>
        </w:tabs>
        <w:ind w:firstLine="0" w:firstLineChars="0"/>
      </w:pPr>
      <w:r>
        <w:fldChar w:fldCharType="begin"/>
      </w:r>
      <w:r>
        <w:instrText xml:space="preserve"> HYPERLINK \l "_Toc5877" </w:instrText>
      </w:r>
      <w:r>
        <w:fldChar w:fldCharType="separate"/>
      </w:r>
      <w:r>
        <w:rPr>
          <w:rFonts w:hint="eastAsia" w:ascii="黑体" w:hAnsi="黑体" w:eastAsia="黑体" w:cs="Times New Roman"/>
          <w:szCs w:val="32"/>
        </w:rPr>
        <w:t>三、以科技创新引领建设车谷产业创新大走廊</w:t>
      </w:r>
      <w:r>
        <w:tab/>
      </w:r>
      <w:r>
        <w:fldChar w:fldCharType="begin"/>
      </w:r>
      <w:r>
        <w:instrText xml:space="preserve"> PAGEREF _Toc5877 \h </w:instrText>
      </w:r>
      <w:r>
        <w:fldChar w:fldCharType="separate"/>
      </w:r>
      <w:r>
        <w:t>12</w:t>
      </w:r>
      <w:r>
        <w:fldChar w:fldCharType="end"/>
      </w:r>
      <w:r>
        <w:fldChar w:fldCharType="end"/>
      </w:r>
    </w:p>
    <w:p>
      <w:pPr>
        <w:pStyle w:val="18"/>
        <w:tabs>
          <w:tab w:val="right" w:leader="dot" w:pos="8306"/>
        </w:tabs>
        <w:ind w:left="0" w:leftChars="0" w:firstLine="0" w:firstLineChars="0"/>
      </w:pPr>
      <w:r>
        <w:fldChar w:fldCharType="begin"/>
      </w:r>
      <w:r>
        <w:instrText xml:space="preserve"> HYPERLINK \l "_Toc9949" </w:instrText>
      </w:r>
      <w:r>
        <w:fldChar w:fldCharType="separate"/>
      </w:r>
      <w:r>
        <w:rPr>
          <w:rFonts w:hint="eastAsia" w:ascii="华文中宋" w:hAnsi="华文中宋" w:eastAsia="华文中宋"/>
          <w:szCs w:val="32"/>
        </w:rPr>
        <w:t>（一）构建“一核一轴两带多点”创新空间</w:t>
      </w:r>
      <w:r>
        <w:tab/>
      </w:r>
      <w:r>
        <w:fldChar w:fldCharType="begin"/>
      </w:r>
      <w:r>
        <w:instrText xml:space="preserve"> PAGEREF _Toc9949 \h </w:instrText>
      </w:r>
      <w:r>
        <w:fldChar w:fldCharType="separate"/>
      </w:r>
      <w:r>
        <w:t>12</w:t>
      </w:r>
      <w:r>
        <w:fldChar w:fldCharType="end"/>
      </w:r>
      <w:r>
        <w:fldChar w:fldCharType="end"/>
      </w:r>
    </w:p>
    <w:p>
      <w:pPr>
        <w:pStyle w:val="18"/>
        <w:tabs>
          <w:tab w:val="right" w:leader="dot" w:pos="8306"/>
        </w:tabs>
        <w:ind w:left="0" w:leftChars="0" w:firstLine="0" w:firstLineChars="0"/>
      </w:pPr>
      <w:r>
        <w:fldChar w:fldCharType="begin"/>
      </w:r>
      <w:r>
        <w:instrText xml:space="preserve"> HYPERLINK \l "_Toc170" </w:instrText>
      </w:r>
      <w:r>
        <w:fldChar w:fldCharType="separate"/>
      </w:r>
      <w:r>
        <w:rPr>
          <w:rFonts w:hint="eastAsia" w:ascii="华文中宋" w:hAnsi="华文中宋" w:eastAsia="华文中宋"/>
          <w:szCs w:val="32"/>
        </w:rPr>
        <w:t>（二）深入推进开放创新</w:t>
      </w:r>
      <w:r>
        <w:tab/>
      </w:r>
      <w:r>
        <w:fldChar w:fldCharType="begin"/>
      </w:r>
      <w:r>
        <w:instrText xml:space="preserve"> PAGEREF _Toc170 \h </w:instrText>
      </w:r>
      <w:r>
        <w:fldChar w:fldCharType="separate"/>
      </w:r>
      <w:r>
        <w:t>14</w:t>
      </w:r>
      <w:r>
        <w:fldChar w:fldCharType="end"/>
      </w:r>
      <w:r>
        <w:fldChar w:fldCharType="end"/>
      </w:r>
    </w:p>
    <w:p>
      <w:pPr>
        <w:pStyle w:val="15"/>
        <w:tabs>
          <w:tab w:val="right" w:leader="dot" w:pos="8306"/>
        </w:tabs>
        <w:ind w:firstLine="0" w:firstLineChars="0"/>
      </w:pPr>
      <w:r>
        <w:fldChar w:fldCharType="begin"/>
      </w:r>
      <w:r>
        <w:instrText xml:space="preserve"> HYPERLINK \l "_Toc6945" </w:instrText>
      </w:r>
      <w:r>
        <w:fldChar w:fldCharType="separate"/>
      </w:r>
      <w:r>
        <w:rPr>
          <w:rFonts w:hint="eastAsia" w:ascii="黑体" w:hAnsi="黑体" w:eastAsia="黑体" w:cs="Times New Roman"/>
          <w:szCs w:val="32"/>
        </w:rPr>
        <w:t>四、建设产业技术创新示范区</w:t>
      </w:r>
      <w:r>
        <w:tab/>
      </w:r>
      <w:r>
        <w:fldChar w:fldCharType="begin"/>
      </w:r>
      <w:r>
        <w:instrText xml:space="preserve"> PAGEREF _Toc6945 \h </w:instrText>
      </w:r>
      <w:r>
        <w:fldChar w:fldCharType="separate"/>
      </w:r>
      <w:r>
        <w:t>17</w:t>
      </w:r>
      <w:r>
        <w:fldChar w:fldCharType="end"/>
      </w:r>
      <w:r>
        <w:fldChar w:fldCharType="end"/>
      </w:r>
    </w:p>
    <w:p>
      <w:pPr>
        <w:pStyle w:val="18"/>
        <w:tabs>
          <w:tab w:val="right" w:leader="dot" w:pos="8306"/>
        </w:tabs>
        <w:ind w:left="0" w:leftChars="0" w:firstLine="0" w:firstLineChars="0"/>
      </w:pPr>
      <w:r>
        <w:fldChar w:fldCharType="begin"/>
      </w:r>
      <w:r>
        <w:instrText xml:space="preserve"> HYPERLINK \l "_Toc18133" </w:instrText>
      </w:r>
      <w:r>
        <w:fldChar w:fldCharType="separate"/>
      </w:r>
      <w:r>
        <w:rPr>
          <w:rFonts w:hint="eastAsia" w:ascii="华文中宋" w:hAnsi="华文中宋" w:eastAsia="华文中宋"/>
          <w:szCs w:val="32"/>
        </w:rPr>
        <w:t>（一）推动优势产业创新转型</w:t>
      </w:r>
      <w:r>
        <w:tab/>
      </w:r>
      <w:r>
        <w:fldChar w:fldCharType="begin"/>
      </w:r>
      <w:r>
        <w:instrText xml:space="preserve"> PAGEREF _Toc18133 \h </w:instrText>
      </w:r>
      <w:r>
        <w:fldChar w:fldCharType="separate"/>
      </w:r>
      <w:r>
        <w:t>17</w:t>
      </w:r>
      <w:r>
        <w:fldChar w:fldCharType="end"/>
      </w:r>
      <w:r>
        <w:fldChar w:fldCharType="end"/>
      </w:r>
    </w:p>
    <w:p>
      <w:pPr>
        <w:pStyle w:val="18"/>
        <w:tabs>
          <w:tab w:val="right" w:leader="dot" w:pos="8306"/>
        </w:tabs>
        <w:ind w:left="0" w:leftChars="0" w:firstLine="0" w:firstLineChars="0"/>
      </w:pPr>
      <w:r>
        <w:fldChar w:fldCharType="begin"/>
      </w:r>
      <w:r>
        <w:instrText xml:space="preserve"> HYPERLINK \l "_Toc14942" </w:instrText>
      </w:r>
      <w:r>
        <w:fldChar w:fldCharType="separate"/>
      </w:r>
      <w:r>
        <w:rPr>
          <w:rFonts w:hint="eastAsia" w:ascii="华文中宋" w:hAnsi="华文中宋" w:eastAsia="华文中宋"/>
          <w:szCs w:val="32"/>
        </w:rPr>
        <w:t>（二）突破战略产业关键技术</w:t>
      </w:r>
      <w:r>
        <w:tab/>
      </w:r>
      <w:r>
        <w:fldChar w:fldCharType="begin"/>
      </w:r>
      <w:r>
        <w:instrText xml:space="preserve"> PAGEREF _Toc14942 \h </w:instrText>
      </w:r>
      <w:r>
        <w:fldChar w:fldCharType="separate"/>
      </w:r>
      <w:r>
        <w:t>17</w:t>
      </w:r>
      <w:r>
        <w:fldChar w:fldCharType="end"/>
      </w:r>
      <w:r>
        <w:fldChar w:fldCharType="end"/>
      </w:r>
    </w:p>
    <w:p>
      <w:pPr>
        <w:pStyle w:val="18"/>
        <w:tabs>
          <w:tab w:val="right" w:leader="dot" w:pos="8306"/>
        </w:tabs>
        <w:ind w:left="0" w:leftChars="0" w:firstLine="0" w:firstLineChars="0"/>
      </w:pPr>
      <w:r>
        <w:fldChar w:fldCharType="begin"/>
      </w:r>
      <w:r>
        <w:instrText xml:space="preserve"> HYPERLINK \l "_Toc1031" </w:instrText>
      </w:r>
      <w:r>
        <w:fldChar w:fldCharType="separate"/>
      </w:r>
      <w:r>
        <w:rPr>
          <w:rFonts w:hint="eastAsia" w:ascii="华文中宋" w:hAnsi="华文中宋" w:eastAsia="华文中宋"/>
          <w:szCs w:val="32"/>
        </w:rPr>
        <w:t>（三）开展重点产业融合创新</w:t>
      </w:r>
      <w:r>
        <w:tab/>
      </w:r>
      <w:r>
        <w:fldChar w:fldCharType="begin"/>
      </w:r>
      <w:r>
        <w:instrText xml:space="preserve"> PAGEREF _Toc1031 \h </w:instrText>
      </w:r>
      <w:r>
        <w:fldChar w:fldCharType="separate"/>
      </w:r>
      <w:r>
        <w:t>19</w:t>
      </w:r>
      <w:r>
        <w:fldChar w:fldCharType="end"/>
      </w:r>
      <w:r>
        <w:fldChar w:fldCharType="end"/>
      </w:r>
    </w:p>
    <w:p>
      <w:pPr>
        <w:pStyle w:val="18"/>
        <w:tabs>
          <w:tab w:val="right" w:leader="dot" w:pos="8306"/>
        </w:tabs>
        <w:ind w:left="0" w:leftChars="0" w:firstLine="0" w:firstLineChars="0"/>
      </w:pPr>
      <w:r>
        <w:fldChar w:fldCharType="begin"/>
      </w:r>
      <w:r>
        <w:instrText xml:space="preserve"> HYPERLINK \l "_Toc25010" </w:instrText>
      </w:r>
      <w:r>
        <w:fldChar w:fldCharType="separate"/>
      </w:r>
      <w:r>
        <w:rPr>
          <w:rFonts w:hint="eastAsia" w:ascii="华文中宋" w:hAnsi="华文中宋" w:eastAsia="华文中宋"/>
          <w:szCs w:val="32"/>
        </w:rPr>
        <w:t>（四）加强特色产业创新布局</w:t>
      </w:r>
      <w:r>
        <w:tab/>
      </w:r>
      <w:r>
        <w:fldChar w:fldCharType="begin"/>
      </w:r>
      <w:r>
        <w:instrText xml:space="preserve"> PAGEREF _Toc25010 \h </w:instrText>
      </w:r>
      <w:r>
        <w:fldChar w:fldCharType="separate"/>
      </w:r>
      <w:r>
        <w:t>19</w:t>
      </w:r>
      <w:r>
        <w:fldChar w:fldCharType="end"/>
      </w:r>
      <w:r>
        <w:fldChar w:fldCharType="end"/>
      </w:r>
    </w:p>
    <w:p>
      <w:pPr>
        <w:pStyle w:val="18"/>
        <w:tabs>
          <w:tab w:val="right" w:leader="dot" w:pos="8306"/>
        </w:tabs>
        <w:ind w:left="0" w:leftChars="0" w:firstLine="0" w:firstLineChars="0"/>
      </w:pPr>
      <w:r>
        <w:fldChar w:fldCharType="begin"/>
      </w:r>
      <w:r>
        <w:instrText xml:space="preserve"> HYPERLINK \l "_Toc25197" </w:instrText>
      </w:r>
      <w:r>
        <w:fldChar w:fldCharType="separate"/>
      </w:r>
      <w:r>
        <w:rPr>
          <w:rFonts w:hint="eastAsia" w:ascii="华文中宋" w:hAnsi="华文中宋" w:eastAsia="华文中宋"/>
          <w:szCs w:val="32"/>
        </w:rPr>
        <w:t>（五）构建多层次产业技术创新平台</w:t>
      </w:r>
      <w:r>
        <w:tab/>
      </w:r>
      <w:r>
        <w:fldChar w:fldCharType="begin"/>
      </w:r>
      <w:r>
        <w:instrText xml:space="preserve"> PAGEREF _Toc25197 \h </w:instrText>
      </w:r>
      <w:r>
        <w:fldChar w:fldCharType="separate"/>
      </w:r>
      <w:r>
        <w:t>21</w:t>
      </w:r>
      <w:r>
        <w:fldChar w:fldCharType="end"/>
      </w:r>
      <w:r>
        <w:fldChar w:fldCharType="end"/>
      </w:r>
    </w:p>
    <w:p>
      <w:pPr>
        <w:pStyle w:val="15"/>
        <w:tabs>
          <w:tab w:val="right" w:leader="dot" w:pos="8306"/>
        </w:tabs>
        <w:ind w:firstLine="0" w:firstLineChars="0"/>
      </w:pPr>
      <w:r>
        <w:fldChar w:fldCharType="begin"/>
      </w:r>
      <w:r>
        <w:instrText xml:space="preserve"> HYPERLINK \l "_Toc30199" </w:instrText>
      </w:r>
      <w:r>
        <w:fldChar w:fldCharType="separate"/>
      </w:r>
      <w:r>
        <w:rPr>
          <w:rFonts w:hint="eastAsia" w:ascii="黑体" w:hAnsi="黑体" w:eastAsia="黑体" w:cs="Times New Roman"/>
          <w:szCs w:val="32"/>
        </w:rPr>
        <w:t>五、建设科技成果转化示范区</w:t>
      </w:r>
      <w:r>
        <w:tab/>
      </w:r>
      <w:r>
        <w:fldChar w:fldCharType="begin"/>
      </w:r>
      <w:r>
        <w:instrText xml:space="preserve"> PAGEREF _Toc30199 \h </w:instrText>
      </w:r>
      <w:r>
        <w:fldChar w:fldCharType="separate"/>
      </w:r>
      <w:r>
        <w:t>23</w:t>
      </w:r>
      <w:r>
        <w:fldChar w:fldCharType="end"/>
      </w:r>
      <w:r>
        <w:fldChar w:fldCharType="end"/>
      </w:r>
    </w:p>
    <w:p>
      <w:pPr>
        <w:pStyle w:val="18"/>
        <w:tabs>
          <w:tab w:val="right" w:leader="dot" w:pos="8306"/>
        </w:tabs>
        <w:ind w:left="0" w:leftChars="0" w:firstLine="0" w:firstLineChars="0"/>
      </w:pPr>
      <w:r>
        <w:fldChar w:fldCharType="begin"/>
      </w:r>
      <w:r>
        <w:instrText xml:space="preserve"> HYPERLINK \l "_Toc4437" </w:instrText>
      </w:r>
      <w:r>
        <w:fldChar w:fldCharType="separate"/>
      </w:r>
      <w:r>
        <w:rPr>
          <w:rFonts w:hint="eastAsia" w:ascii="华文中宋" w:hAnsi="华文中宋" w:eastAsia="华文中宋"/>
          <w:szCs w:val="32"/>
        </w:rPr>
        <w:t>（一）深化产学研协同创新</w:t>
      </w:r>
      <w:r>
        <w:tab/>
      </w:r>
      <w:r>
        <w:fldChar w:fldCharType="begin"/>
      </w:r>
      <w:r>
        <w:instrText xml:space="preserve"> PAGEREF _Toc4437 \h </w:instrText>
      </w:r>
      <w:r>
        <w:fldChar w:fldCharType="separate"/>
      </w:r>
      <w:r>
        <w:t>23</w:t>
      </w:r>
      <w:r>
        <w:fldChar w:fldCharType="end"/>
      </w:r>
      <w:r>
        <w:fldChar w:fldCharType="end"/>
      </w:r>
    </w:p>
    <w:p>
      <w:pPr>
        <w:pStyle w:val="18"/>
        <w:tabs>
          <w:tab w:val="right" w:leader="dot" w:pos="8306"/>
        </w:tabs>
        <w:ind w:left="0" w:leftChars="0" w:firstLine="0" w:firstLineChars="0"/>
      </w:pPr>
      <w:r>
        <w:fldChar w:fldCharType="begin"/>
      </w:r>
      <w:r>
        <w:instrText xml:space="preserve"> HYPERLINK \l "_Toc14265" </w:instrText>
      </w:r>
      <w:r>
        <w:fldChar w:fldCharType="separate"/>
      </w:r>
      <w:r>
        <w:rPr>
          <w:rFonts w:hint="eastAsia" w:ascii="华文中宋" w:hAnsi="华文中宋" w:eastAsia="华文中宋"/>
          <w:szCs w:val="32"/>
        </w:rPr>
        <w:t>（二）完善科技成果转化服务体系</w:t>
      </w:r>
      <w:r>
        <w:tab/>
      </w:r>
      <w:r>
        <w:fldChar w:fldCharType="begin"/>
      </w:r>
      <w:r>
        <w:instrText xml:space="preserve"> PAGEREF _Toc14265 \h </w:instrText>
      </w:r>
      <w:r>
        <w:fldChar w:fldCharType="separate"/>
      </w:r>
      <w:r>
        <w:t>25</w:t>
      </w:r>
      <w:r>
        <w:fldChar w:fldCharType="end"/>
      </w:r>
      <w:r>
        <w:fldChar w:fldCharType="end"/>
      </w:r>
    </w:p>
    <w:p>
      <w:pPr>
        <w:pStyle w:val="18"/>
        <w:tabs>
          <w:tab w:val="right" w:leader="dot" w:pos="8306"/>
        </w:tabs>
        <w:ind w:left="0" w:leftChars="0" w:firstLine="0" w:firstLineChars="0"/>
      </w:pPr>
      <w:r>
        <w:fldChar w:fldCharType="begin"/>
      </w:r>
      <w:r>
        <w:instrText xml:space="preserve"> HYPERLINK \l "_Toc11206" </w:instrText>
      </w:r>
      <w:r>
        <w:fldChar w:fldCharType="separate"/>
      </w:r>
      <w:r>
        <w:rPr>
          <w:rFonts w:hint="eastAsia" w:ascii="华文中宋" w:hAnsi="华文中宋" w:eastAsia="华文中宋"/>
          <w:szCs w:val="32"/>
        </w:rPr>
        <w:t>（三）加强新经济场景建设</w:t>
      </w:r>
      <w:r>
        <w:tab/>
      </w:r>
      <w:r>
        <w:fldChar w:fldCharType="begin"/>
      </w:r>
      <w:r>
        <w:instrText xml:space="preserve"> PAGEREF _Toc11206 \h </w:instrText>
      </w:r>
      <w:r>
        <w:fldChar w:fldCharType="separate"/>
      </w:r>
      <w:r>
        <w:t>26</w:t>
      </w:r>
      <w:r>
        <w:fldChar w:fldCharType="end"/>
      </w:r>
      <w:r>
        <w:fldChar w:fldCharType="end"/>
      </w:r>
    </w:p>
    <w:p>
      <w:pPr>
        <w:pStyle w:val="15"/>
        <w:tabs>
          <w:tab w:val="right" w:leader="dot" w:pos="8306"/>
        </w:tabs>
        <w:ind w:firstLine="0" w:firstLineChars="0"/>
      </w:pPr>
      <w:r>
        <w:fldChar w:fldCharType="begin"/>
      </w:r>
      <w:r>
        <w:instrText xml:space="preserve"> HYPERLINK \l "_Toc26592" </w:instrText>
      </w:r>
      <w:r>
        <w:fldChar w:fldCharType="separate"/>
      </w:r>
      <w:r>
        <w:rPr>
          <w:rFonts w:hint="eastAsia" w:ascii="黑体" w:hAnsi="黑体" w:eastAsia="黑体" w:cs="Times New Roman"/>
          <w:szCs w:val="32"/>
        </w:rPr>
        <w:t>六、建设大中小企业融通创新示范区</w:t>
      </w:r>
      <w:r>
        <w:tab/>
      </w:r>
      <w:r>
        <w:fldChar w:fldCharType="begin"/>
      </w:r>
      <w:r>
        <w:instrText xml:space="preserve"> PAGEREF _Toc26592 \h </w:instrText>
      </w:r>
      <w:r>
        <w:fldChar w:fldCharType="separate"/>
      </w:r>
      <w:r>
        <w:t>28</w:t>
      </w:r>
      <w:r>
        <w:fldChar w:fldCharType="end"/>
      </w:r>
      <w:r>
        <w:fldChar w:fldCharType="end"/>
      </w:r>
    </w:p>
    <w:p>
      <w:pPr>
        <w:pStyle w:val="18"/>
        <w:tabs>
          <w:tab w:val="right" w:leader="dot" w:pos="8306"/>
        </w:tabs>
        <w:ind w:left="0" w:leftChars="0" w:firstLine="0" w:firstLineChars="0"/>
      </w:pPr>
      <w:r>
        <w:fldChar w:fldCharType="begin"/>
      </w:r>
      <w:r>
        <w:instrText xml:space="preserve"> HYPERLINK \l "_Toc16642" </w:instrText>
      </w:r>
      <w:r>
        <w:fldChar w:fldCharType="separate"/>
      </w:r>
      <w:r>
        <w:rPr>
          <w:rFonts w:hint="eastAsia" w:ascii="华文中宋" w:hAnsi="华文中宋" w:eastAsia="华文中宋"/>
          <w:szCs w:val="32"/>
        </w:rPr>
        <w:t>（一）做大创新型企业群体</w:t>
      </w:r>
      <w:r>
        <w:tab/>
      </w:r>
      <w:r>
        <w:fldChar w:fldCharType="begin"/>
      </w:r>
      <w:r>
        <w:instrText xml:space="preserve"> PAGEREF _Toc16642 \h </w:instrText>
      </w:r>
      <w:r>
        <w:fldChar w:fldCharType="separate"/>
      </w:r>
      <w:r>
        <w:t>28</w:t>
      </w:r>
      <w:r>
        <w:fldChar w:fldCharType="end"/>
      </w:r>
      <w:r>
        <w:fldChar w:fldCharType="end"/>
      </w:r>
    </w:p>
    <w:p>
      <w:pPr>
        <w:pStyle w:val="18"/>
        <w:tabs>
          <w:tab w:val="right" w:leader="dot" w:pos="8306"/>
        </w:tabs>
        <w:ind w:left="0" w:leftChars="0" w:firstLine="0" w:firstLineChars="0"/>
      </w:pPr>
      <w:r>
        <w:fldChar w:fldCharType="begin"/>
      </w:r>
      <w:r>
        <w:instrText xml:space="preserve"> HYPERLINK \l "_Toc19129" </w:instrText>
      </w:r>
      <w:r>
        <w:fldChar w:fldCharType="separate"/>
      </w:r>
      <w:r>
        <w:rPr>
          <w:rFonts w:hint="eastAsia" w:ascii="华文中宋" w:hAnsi="华文中宋" w:eastAsia="华文中宋"/>
          <w:szCs w:val="32"/>
        </w:rPr>
        <w:t>（二）集聚培育高成长企业</w:t>
      </w:r>
      <w:r>
        <w:tab/>
      </w:r>
      <w:r>
        <w:fldChar w:fldCharType="begin"/>
      </w:r>
      <w:r>
        <w:instrText xml:space="preserve"> PAGEREF _Toc19129 \h </w:instrText>
      </w:r>
      <w:r>
        <w:fldChar w:fldCharType="separate"/>
      </w:r>
      <w:r>
        <w:t>29</w:t>
      </w:r>
      <w:r>
        <w:fldChar w:fldCharType="end"/>
      </w:r>
      <w:r>
        <w:fldChar w:fldCharType="end"/>
      </w:r>
    </w:p>
    <w:p>
      <w:pPr>
        <w:pStyle w:val="18"/>
        <w:tabs>
          <w:tab w:val="right" w:leader="dot" w:pos="8306"/>
        </w:tabs>
        <w:ind w:left="0" w:leftChars="0" w:firstLine="0" w:firstLineChars="0"/>
      </w:pPr>
      <w:r>
        <w:fldChar w:fldCharType="begin"/>
      </w:r>
      <w:r>
        <w:instrText xml:space="preserve"> HYPERLINK \l "_Toc30186" </w:instrText>
      </w:r>
      <w:r>
        <w:fldChar w:fldCharType="separate"/>
      </w:r>
      <w:r>
        <w:rPr>
          <w:rFonts w:hint="eastAsia" w:ascii="华文中宋" w:hAnsi="华文中宋" w:eastAsia="华文中宋"/>
          <w:szCs w:val="32"/>
        </w:rPr>
        <w:t>（三）支持大企业开放创新</w:t>
      </w:r>
      <w:r>
        <w:tab/>
      </w:r>
      <w:r>
        <w:fldChar w:fldCharType="begin"/>
      </w:r>
      <w:r>
        <w:instrText xml:space="preserve"> PAGEREF _Toc30186 \h </w:instrText>
      </w:r>
      <w:r>
        <w:fldChar w:fldCharType="separate"/>
      </w:r>
      <w:r>
        <w:t>30</w:t>
      </w:r>
      <w:r>
        <w:fldChar w:fldCharType="end"/>
      </w:r>
      <w:r>
        <w:fldChar w:fldCharType="end"/>
      </w:r>
    </w:p>
    <w:p>
      <w:pPr>
        <w:pStyle w:val="18"/>
        <w:tabs>
          <w:tab w:val="right" w:leader="dot" w:pos="8306"/>
        </w:tabs>
        <w:ind w:left="0" w:leftChars="0" w:firstLine="0" w:firstLineChars="0"/>
      </w:pPr>
      <w:r>
        <w:fldChar w:fldCharType="begin"/>
      </w:r>
      <w:r>
        <w:instrText xml:space="preserve"> HYPERLINK \l "_Toc17478" </w:instrText>
      </w:r>
      <w:r>
        <w:fldChar w:fldCharType="separate"/>
      </w:r>
      <w:r>
        <w:rPr>
          <w:rFonts w:hint="eastAsia" w:ascii="华文中宋" w:hAnsi="华文中宋" w:eastAsia="华文中宋"/>
          <w:szCs w:val="32"/>
        </w:rPr>
        <w:t>（四）加强企业孵化载体建设</w:t>
      </w:r>
      <w:r>
        <w:tab/>
      </w:r>
      <w:r>
        <w:fldChar w:fldCharType="begin"/>
      </w:r>
      <w:r>
        <w:instrText xml:space="preserve"> PAGEREF _Toc17478 \h </w:instrText>
      </w:r>
      <w:r>
        <w:fldChar w:fldCharType="separate"/>
      </w:r>
      <w:r>
        <w:t>31</w:t>
      </w:r>
      <w:r>
        <w:fldChar w:fldCharType="end"/>
      </w:r>
      <w:r>
        <w:fldChar w:fldCharType="end"/>
      </w:r>
    </w:p>
    <w:p>
      <w:pPr>
        <w:pStyle w:val="15"/>
        <w:tabs>
          <w:tab w:val="right" w:leader="dot" w:pos="8306"/>
        </w:tabs>
        <w:ind w:firstLine="0" w:firstLineChars="0"/>
      </w:pPr>
      <w:r>
        <w:fldChar w:fldCharType="begin"/>
      </w:r>
      <w:r>
        <w:instrText xml:space="preserve"> HYPERLINK \l "_Toc11924" </w:instrText>
      </w:r>
      <w:r>
        <w:fldChar w:fldCharType="separate"/>
      </w:r>
      <w:r>
        <w:rPr>
          <w:rFonts w:hint="eastAsia" w:ascii="黑体" w:hAnsi="黑体" w:eastAsia="黑体" w:cs="Times New Roman"/>
          <w:szCs w:val="32"/>
        </w:rPr>
        <w:t>七、加强创新要素集聚配置</w:t>
      </w:r>
      <w:r>
        <w:tab/>
      </w:r>
      <w:r>
        <w:fldChar w:fldCharType="begin"/>
      </w:r>
      <w:r>
        <w:instrText xml:space="preserve"> PAGEREF _Toc11924 \h </w:instrText>
      </w:r>
      <w:r>
        <w:fldChar w:fldCharType="separate"/>
      </w:r>
      <w:r>
        <w:t>32</w:t>
      </w:r>
      <w:r>
        <w:fldChar w:fldCharType="end"/>
      </w:r>
      <w:r>
        <w:fldChar w:fldCharType="end"/>
      </w:r>
    </w:p>
    <w:p>
      <w:pPr>
        <w:pStyle w:val="18"/>
        <w:tabs>
          <w:tab w:val="right" w:leader="dot" w:pos="8306"/>
        </w:tabs>
        <w:ind w:left="0" w:leftChars="0" w:firstLine="0" w:firstLineChars="0"/>
      </w:pPr>
      <w:r>
        <w:fldChar w:fldCharType="begin"/>
      </w:r>
      <w:r>
        <w:instrText xml:space="preserve"> HYPERLINK \l "_Toc24566" </w:instrText>
      </w:r>
      <w:r>
        <w:fldChar w:fldCharType="separate"/>
      </w:r>
      <w:r>
        <w:rPr>
          <w:rFonts w:hint="eastAsia" w:ascii="华文中宋" w:hAnsi="华文中宋" w:eastAsia="华文中宋"/>
          <w:szCs w:val="32"/>
        </w:rPr>
        <w:t>（一）加快汇聚创新人才</w:t>
      </w:r>
      <w:r>
        <w:tab/>
      </w:r>
      <w:r>
        <w:fldChar w:fldCharType="begin"/>
      </w:r>
      <w:r>
        <w:instrText xml:space="preserve"> PAGEREF _Toc24566 \h </w:instrText>
      </w:r>
      <w:r>
        <w:fldChar w:fldCharType="separate"/>
      </w:r>
      <w:r>
        <w:t>32</w:t>
      </w:r>
      <w:r>
        <w:fldChar w:fldCharType="end"/>
      </w:r>
      <w:r>
        <w:fldChar w:fldCharType="end"/>
      </w:r>
    </w:p>
    <w:p>
      <w:pPr>
        <w:pStyle w:val="18"/>
        <w:tabs>
          <w:tab w:val="right" w:leader="dot" w:pos="8306"/>
        </w:tabs>
        <w:ind w:left="0" w:leftChars="0" w:firstLine="0" w:firstLineChars="0"/>
      </w:pPr>
      <w:r>
        <w:fldChar w:fldCharType="begin"/>
      </w:r>
      <w:r>
        <w:instrText xml:space="preserve"> HYPERLINK \l "_Toc27036" </w:instrText>
      </w:r>
      <w:r>
        <w:fldChar w:fldCharType="separate"/>
      </w:r>
      <w:r>
        <w:rPr>
          <w:rFonts w:hint="eastAsia" w:ascii="华文中宋" w:hAnsi="华文中宋" w:eastAsia="华文中宋"/>
          <w:szCs w:val="32"/>
        </w:rPr>
        <w:t>（二）加强知识产权创造保护</w:t>
      </w:r>
      <w:r>
        <w:tab/>
      </w:r>
      <w:r>
        <w:fldChar w:fldCharType="begin"/>
      </w:r>
      <w:r>
        <w:instrText xml:space="preserve"> PAGEREF _Toc27036 \h </w:instrText>
      </w:r>
      <w:r>
        <w:fldChar w:fldCharType="separate"/>
      </w:r>
      <w:r>
        <w:t>34</w:t>
      </w:r>
      <w:r>
        <w:fldChar w:fldCharType="end"/>
      </w:r>
      <w:r>
        <w:fldChar w:fldCharType="end"/>
      </w:r>
    </w:p>
    <w:p>
      <w:pPr>
        <w:pStyle w:val="18"/>
        <w:tabs>
          <w:tab w:val="right" w:leader="dot" w:pos="8306"/>
        </w:tabs>
        <w:ind w:left="0" w:leftChars="0" w:firstLine="0" w:firstLineChars="0"/>
      </w:pPr>
      <w:r>
        <w:fldChar w:fldCharType="begin"/>
      </w:r>
      <w:r>
        <w:instrText xml:space="preserve"> HYPERLINK \l "_Toc26422" </w:instrText>
      </w:r>
      <w:r>
        <w:fldChar w:fldCharType="separate"/>
      </w:r>
      <w:r>
        <w:rPr>
          <w:rFonts w:hint="eastAsia" w:ascii="华文中宋" w:hAnsi="华文中宋" w:eastAsia="华文中宋"/>
          <w:szCs w:val="32"/>
        </w:rPr>
        <w:t>（三）强化科技金融支撑作用</w:t>
      </w:r>
      <w:r>
        <w:tab/>
      </w:r>
      <w:r>
        <w:fldChar w:fldCharType="begin"/>
      </w:r>
      <w:r>
        <w:instrText xml:space="preserve"> PAGEREF _Toc26422 \h </w:instrText>
      </w:r>
      <w:r>
        <w:fldChar w:fldCharType="separate"/>
      </w:r>
      <w:r>
        <w:t>36</w:t>
      </w:r>
      <w:r>
        <w:fldChar w:fldCharType="end"/>
      </w:r>
      <w:r>
        <w:fldChar w:fldCharType="end"/>
      </w:r>
    </w:p>
    <w:p>
      <w:pPr>
        <w:pStyle w:val="18"/>
        <w:tabs>
          <w:tab w:val="right" w:leader="dot" w:pos="8306"/>
        </w:tabs>
        <w:ind w:left="0" w:leftChars="0" w:firstLine="0" w:firstLineChars="0"/>
      </w:pPr>
      <w:r>
        <w:fldChar w:fldCharType="begin"/>
      </w:r>
      <w:r>
        <w:instrText xml:space="preserve"> HYPERLINK \l "_Toc758" </w:instrText>
      </w:r>
      <w:r>
        <w:fldChar w:fldCharType="separate"/>
      </w:r>
      <w:r>
        <w:rPr>
          <w:rFonts w:hint="eastAsia" w:ascii="华文中宋" w:hAnsi="华文中宋" w:eastAsia="华文中宋"/>
          <w:szCs w:val="32"/>
        </w:rPr>
        <w:t>（四）推动数据资源开放共享</w:t>
      </w:r>
      <w:r>
        <w:tab/>
      </w:r>
      <w:r>
        <w:fldChar w:fldCharType="begin"/>
      </w:r>
      <w:r>
        <w:instrText xml:space="preserve"> PAGEREF _Toc758 \h </w:instrText>
      </w:r>
      <w:r>
        <w:fldChar w:fldCharType="separate"/>
      </w:r>
      <w:r>
        <w:t>37</w:t>
      </w:r>
      <w:r>
        <w:fldChar w:fldCharType="end"/>
      </w:r>
      <w:r>
        <w:fldChar w:fldCharType="end"/>
      </w:r>
    </w:p>
    <w:p>
      <w:pPr>
        <w:pStyle w:val="15"/>
        <w:tabs>
          <w:tab w:val="right" w:leader="dot" w:pos="8306"/>
        </w:tabs>
        <w:ind w:firstLine="0" w:firstLineChars="0"/>
      </w:pPr>
      <w:r>
        <w:fldChar w:fldCharType="begin"/>
      </w:r>
      <w:r>
        <w:instrText xml:space="preserve"> HYPERLINK \l "_Toc1405" </w:instrText>
      </w:r>
      <w:r>
        <w:fldChar w:fldCharType="separate"/>
      </w:r>
      <w:r>
        <w:rPr>
          <w:rFonts w:hint="eastAsia" w:ascii="黑体" w:hAnsi="黑体" w:eastAsia="黑体" w:cs="Times New Roman"/>
          <w:szCs w:val="32"/>
        </w:rPr>
        <w:t>八、营造优质创新生态环境</w:t>
      </w:r>
      <w:r>
        <w:tab/>
      </w:r>
      <w:r>
        <w:fldChar w:fldCharType="begin"/>
      </w:r>
      <w:r>
        <w:instrText xml:space="preserve"> PAGEREF _Toc1405 \h </w:instrText>
      </w:r>
      <w:r>
        <w:fldChar w:fldCharType="separate"/>
      </w:r>
      <w:r>
        <w:t>39</w:t>
      </w:r>
      <w:r>
        <w:fldChar w:fldCharType="end"/>
      </w:r>
      <w:r>
        <w:fldChar w:fldCharType="end"/>
      </w:r>
    </w:p>
    <w:p>
      <w:pPr>
        <w:pStyle w:val="18"/>
        <w:tabs>
          <w:tab w:val="right" w:leader="dot" w:pos="8306"/>
        </w:tabs>
        <w:ind w:left="0" w:leftChars="0" w:firstLine="0" w:firstLineChars="0"/>
      </w:pPr>
      <w:r>
        <w:fldChar w:fldCharType="begin"/>
      </w:r>
      <w:r>
        <w:instrText xml:space="preserve"> HYPERLINK \l "_Toc582" </w:instrText>
      </w:r>
      <w:r>
        <w:fldChar w:fldCharType="separate"/>
      </w:r>
      <w:r>
        <w:rPr>
          <w:rFonts w:hint="eastAsia" w:ascii="华文中宋" w:hAnsi="华文中宋" w:eastAsia="华文中宋"/>
          <w:szCs w:val="32"/>
        </w:rPr>
        <w:t>（一）推进体制机制改革</w:t>
      </w:r>
      <w:r>
        <w:tab/>
      </w:r>
      <w:r>
        <w:fldChar w:fldCharType="begin"/>
      </w:r>
      <w:r>
        <w:instrText xml:space="preserve"> PAGEREF _Toc582 \h </w:instrText>
      </w:r>
      <w:r>
        <w:fldChar w:fldCharType="separate"/>
      </w:r>
      <w:r>
        <w:t>39</w:t>
      </w:r>
      <w:r>
        <w:fldChar w:fldCharType="end"/>
      </w:r>
      <w:r>
        <w:fldChar w:fldCharType="end"/>
      </w:r>
    </w:p>
    <w:p>
      <w:pPr>
        <w:pStyle w:val="18"/>
        <w:tabs>
          <w:tab w:val="right" w:leader="dot" w:pos="8306"/>
        </w:tabs>
        <w:ind w:left="0" w:leftChars="0" w:firstLine="0" w:firstLineChars="0"/>
      </w:pPr>
      <w:r>
        <w:fldChar w:fldCharType="begin"/>
      </w:r>
      <w:r>
        <w:instrText xml:space="preserve"> HYPERLINK \l "_Toc11709" </w:instrText>
      </w:r>
      <w:r>
        <w:fldChar w:fldCharType="separate"/>
      </w:r>
      <w:r>
        <w:rPr>
          <w:rFonts w:hint="eastAsia" w:ascii="华文中宋" w:hAnsi="华文中宋" w:eastAsia="华文中宋"/>
          <w:szCs w:val="32"/>
        </w:rPr>
        <w:t>（二）营造创新文化氛围</w:t>
      </w:r>
      <w:r>
        <w:tab/>
      </w:r>
      <w:r>
        <w:fldChar w:fldCharType="begin"/>
      </w:r>
      <w:r>
        <w:instrText xml:space="preserve"> PAGEREF _Toc11709 \h </w:instrText>
      </w:r>
      <w:r>
        <w:fldChar w:fldCharType="separate"/>
      </w:r>
      <w:r>
        <w:t>40</w:t>
      </w:r>
      <w:r>
        <w:fldChar w:fldCharType="end"/>
      </w:r>
      <w:r>
        <w:fldChar w:fldCharType="end"/>
      </w:r>
    </w:p>
    <w:p>
      <w:pPr>
        <w:pStyle w:val="15"/>
        <w:tabs>
          <w:tab w:val="right" w:leader="dot" w:pos="8306"/>
        </w:tabs>
        <w:ind w:firstLine="0" w:firstLineChars="0"/>
      </w:pPr>
      <w:r>
        <w:fldChar w:fldCharType="begin"/>
      </w:r>
      <w:r>
        <w:instrText xml:space="preserve"> HYPERLINK \l "_Toc30991" </w:instrText>
      </w:r>
      <w:r>
        <w:fldChar w:fldCharType="separate"/>
      </w:r>
      <w:r>
        <w:rPr>
          <w:rFonts w:hint="eastAsia" w:ascii="黑体" w:hAnsi="黑体" w:eastAsia="黑体" w:cs="Times New Roman"/>
          <w:szCs w:val="32"/>
        </w:rPr>
        <w:t>九、保障措施</w:t>
      </w:r>
      <w:r>
        <w:tab/>
      </w:r>
      <w:r>
        <w:fldChar w:fldCharType="begin"/>
      </w:r>
      <w:r>
        <w:instrText xml:space="preserve"> PAGEREF _Toc30991 \h </w:instrText>
      </w:r>
      <w:r>
        <w:fldChar w:fldCharType="separate"/>
      </w:r>
      <w:r>
        <w:t>43</w:t>
      </w:r>
      <w:r>
        <w:fldChar w:fldCharType="end"/>
      </w:r>
      <w:r>
        <w:fldChar w:fldCharType="end"/>
      </w:r>
    </w:p>
    <w:p>
      <w:pPr>
        <w:pStyle w:val="18"/>
        <w:tabs>
          <w:tab w:val="right" w:leader="dot" w:pos="8306"/>
        </w:tabs>
        <w:ind w:left="0" w:leftChars="0" w:firstLine="0" w:firstLineChars="0"/>
      </w:pPr>
      <w:r>
        <w:fldChar w:fldCharType="begin"/>
      </w:r>
      <w:r>
        <w:instrText xml:space="preserve"> HYPERLINK \l "_Toc21604" </w:instrText>
      </w:r>
      <w:r>
        <w:fldChar w:fldCharType="separate"/>
      </w:r>
      <w:r>
        <w:rPr>
          <w:rFonts w:hint="eastAsia" w:ascii="华文中宋" w:hAnsi="华文中宋" w:eastAsia="华文中宋"/>
          <w:szCs w:val="32"/>
        </w:rPr>
        <w:t>（一）加强党对科技工作的全面领导</w:t>
      </w:r>
      <w:r>
        <w:tab/>
      </w:r>
      <w:r>
        <w:fldChar w:fldCharType="begin"/>
      </w:r>
      <w:r>
        <w:instrText xml:space="preserve"> PAGEREF _Toc21604 \h </w:instrText>
      </w:r>
      <w:r>
        <w:fldChar w:fldCharType="separate"/>
      </w:r>
      <w:r>
        <w:t>43</w:t>
      </w:r>
      <w:r>
        <w:fldChar w:fldCharType="end"/>
      </w:r>
      <w:r>
        <w:fldChar w:fldCharType="end"/>
      </w:r>
    </w:p>
    <w:p>
      <w:pPr>
        <w:pStyle w:val="18"/>
        <w:tabs>
          <w:tab w:val="right" w:leader="dot" w:pos="8306"/>
        </w:tabs>
        <w:ind w:left="0" w:leftChars="0" w:firstLine="0" w:firstLineChars="0"/>
      </w:pPr>
      <w:r>
        <w:fldChar w:fldCharType="begin"/>
      </w:r>
      <w:r>
        <w:instrText xml:space="preserve"> HYPERLINK \l "_Toc22323" </w:instrText>
      </w:r>
      <w:r>
        <w:fldChar w:fldCharType="separate"/>
      </w:r>
      <w:r>
        <w:rPr>
          <w:rFonts w:hint="eastAsia" w:ascii="华文中宋" w:hAnsi="华文中宋" w:eastAsia="华文中宋"/>
          <w:szCs w:val="32"/>
        </w:rPr>
        <w:t>（二）完善科技</w:t>
      </w:r>
      <w:r>
        <w:rPr>
          <w:rFonts w:ascii="华文中宋" w:hAnsi="华文中宋" w:eastAsia="华文中宋"/>
          <w:szCs w:val="32"/>
        </w:rPr>
        <w:t>政策支持体系</w:t>
      </w:r>
      <w:r>
        <w:tab/>
      </w:r>
      <w:r>
        <w:fldChar w:fldCharType="begin"/>
      </w:r>
      <w:r>
        <w:instrText xml:space="preserve"> PAGEREF _Toc22323 \h </w:instrText>
      </w:r>
      <w:r>
        <w:fldChar w:fldCharType="separate"/>
      </w:r>
      <w:r>
        <w:t>43</w:t>
      </w:r>
      <w:r>
        <w:fldChar w:fldCharType="end"/>
      </w:r>
      <w:r>
        <w:fldChar w:fldCharType="end"/>
      </w:r>
    </w:p>
    <w:p>
      <w:pPr>
        <w:pStyle w:val="18"/>
        <w:tabs>
          <w:tab w:val="right" w:leader="dot" w:pos="8306"/>
        </w:tabs>
        <w:ind w:left="0" w:leftChars="0" w:firstLine="0" w:firstLineChars="0"/>
      </w:pPr>
      <w:r>
        <w:fldChar w:fldCharType="begin"/>
      </w:r>
      <w:r>
        <w:instrText xml:space="preserve"> HYPERLINK \l "_Toc27214" </w:instrText>
      </w:r>
      <w:r>
        <w:fldChar w:fldCharType="separate"/>
      </w:r>
      <w:r>
        <w:rPr>
          <w:rFonts w:hint="eastAsia" w:ascii="华文中宋" w:hAnsi="华文中宋" w:eastAsia="华文中宋"/>
          <w:szCs w:val="32"/>
        </w:rPr>
        <w:t>（三）提高科技创新投入水平</w:t>
      </w:r>
      <w:r>
        <w:tab/>
      </w:r>
      <w:r>
        <w:fldChar w:fldCharType="begin"/>
      </w:r>
      <w:r>
        <w:instrText xml:space="preserve"> PAGEREF _Toc27214 \h </w:instrText>
      </w:r>
      <w:r>
        <w:fldChar w:fldCharType="separate"/>
      </w:r>
      <w:r>
        <w:t>43</w:t>
      </w:r>
      <w:r>
        <w:fldChar w:fldCharType="end"/>
      </w:r>
      <w:r>
        <w:fldChar w:fldCharType="end"/>
      </w:r>
    </w:p>
    <w:p>
      <w:pPr>
        <w:pStyle w:val="18"/>
        <w:tabs>
          <w:tab w:val="right" w:leader="dot" w:pos="8306"/>
        </w:tabs>
        <w:ind w:left="0" w:leftChars="0" w:firstLine="0" w:firstLineChars="0"/>
      </w:pPr>
      <w:r>
        <w:fldChar w:fldCharType="begin"/>
      </w:r>
      <w:r>
        <w:instrText xml:space="preserve"> HYPERLINK \l "_Toc4249" </w:instrText>
      </w:r>
      <w:r>
        <w:fldChar w:fldCharType="separate"/>
      </w:r>
      <w:r>
        <w:rPr>
          <w:rFonts w:hint="eastAsia" w:ascii="华文中宋" w:hAnsi="华文中宋" w:eastAsia="华文中宋"/>
          <w:szCs w:val="32"/>
        </w:rPr>
        <w:t>（四）强化创新发展空间支撑</w:t>
      </w:r>
      <w:r>
        <w:tab/>
      </w:r>
      <w:r>
        <w:fldChar w:fldCharType="begin"/>
      </w:r>
      <w:r>
        <w:instrText xml:space="preserve"> PAGEREF _Toc4249 \h </w:instrText>
      </w:r>
      <w:r>
        <w:fldChar w:fldCharType="separate"/>
      </w:r>
      <w:r>
        <w:t>44</w:t>
      </w:r>
      <w:r>
        <w:fldChar w:fldCharType="end"/>
      </w:r>
      <w:r>
        <w:fldChar w:fldCharType="end"/>
      </w:r>
    </w:p>
    <w:p>
      <w:pPr>
        <w:pStyle w:val="18"/>
        <w:tabs>
          <w:tab w:val="right" w:leader="dot" w:pos="8306"/>
        </w:tabs>
        <w:ind w:left="0" w:leftChars="0" w:firstLine="0" w:firstLineChars="0"/>
      </w:pPr>
      <w:r>
        <w:fldChar w:fldCharType="begin"/>
      </w:r>
      <w:r>
        <w:instrText xml:space="preserve"> HYPERLINK \l "_Toc10323" </w:instrText>
      </w:r>
      <w:r>
        <w:fldChar w:fldCharType="separate"/>
      </w:r>
      <w:r>
        <w:rPr>
          <w:rFonts w:hint="eastAsia" w:ascii="华文中宋" w:hAnsi="华文中宋" w:eastAsia="华文中宋"/>
          <w:szCs w:val="32"/>
        </w:rPr>
        <w:t>（五）强化规划实施考核评估</w:t>
      </w:r>
      <w:r>
        <w:tab/>
      </w:r>
      <w:r>
        <w:fldChar w:fldCharType="begin"/>
      </w:r>
      <w:r>
        <w:instrText xml:space="preserve"> PAGEREF _Toc10323 \h </w:instrText>
      </w:r>
      <w:r>
        <w:fldChar w:fldCharType="separate"/>
      </w:r>
      <w:r>
        <w:t>44</w:t>
      </w:r>
      <w:r>
        <w:fldChar w:fldCharType="end"/>
      </w:r>
      <w:r>
        <w:fldChar w:fldCharType="end"/>
      </w:r>
    </w:p>
    <w:p>
      <w:pPr>
        <w:pStyle w:val="15"/>
        <w:tabs>
          <w:tab w:val="right" w:leader="dot" w:pos="8306"/>
        </w:tabs>
        <w:adjustRightInd w:val="0"/>
        <w:snapToGrid w:val="0"/>
        <w:spacing w:line="360" w:lineRule="auto"/>
        <w:ind w:firstLine="0" w:firstLineChars="0"/>
        <w:rPr>
          <w:rFonts w:ascii="Times New Roman" w:hAnsi="Times New Roman" w:eastAsia="黑体" w:cs="Times New Roman"/>
          <w:color w:val="auto"/>
          <w:sz w:val="30"/>
          <w:szCs w:val="30"/>
        </w:rPr>
        <w:sectPr>
          <w:footerReference r:id="rId11" w:type="default"/>
          <w:pgSz w:w="11906" w:h="16838"/>
          <w:pgMar w:top="1440" w:right="1800" w:bottom="1440" w:left="1800" w:header="851" w:footer="992" w:gutter="0"/>
          <w:pgNumType w:fmt="upperRoman" w:start="1"/>
          <w:cols w:space="425" w:num="1"/>
          <w:docGrid w:type="lines" w:linePitch="312" w:charSpace="0"/>
        </w:sectPr>
      </w:pPr>
      <w:r>
        <w:rPr>
          <w:rFonts w:ascii="Times New Roman" w:hAnsi="Times New Roman" w:eastAsia="黑体" w:cs="Times New Roman"/>
          <w:color w:val="auto"/>
          <w:szCs w:val="30"/>
        </w:rPr>
        <w:fldChar w:fldCharType="end"/>
      </w:r>
    </w:p>
    <w:p>
      <w:pPr>
        <w:autoSpaceDE w:val="0"/>
        <w:autoSpaceDN w:val="0"/>
        <w:adjustRightInd w:val="0"/>
        <w:snapToGrid w:val="0"/>
        <w:spacing w:line="360" w:lineRule="auto"/>
        <w:ind w:firstLine="0" w:firstLineChars="0"/>
        <w:jc w:val="center"/>
        <w:outlineLvl w:val="0"/>
        <w:rPr>
          <w:rFonts w:ascii="黑体" w:hAnsi="黑体" w:eastAsia="黑体" w:cs="Times New Roman"/>
          <w:bCs/>
          <w:color w:val="auto"/>
          <w:sz w:val="36"/>
          <w:szCs w:val="36"/>
        </w:rPr>
      </w:pPr>
      <w:bookmarkStart w:id="21" w:name="_Toc26872"/>
      <w:bookmarkStart w:id="22" w:name="_Toc20018"/>
      <w:bookmarkStart w:id="23" w:name="_Toc21634"/>
      <w:bookmarkStart w:id="24" w:name="_Toc7867"/>
      <w:bookmarkStart w:id="25" w:name="_Toc7728"/>
      <w:bookmarkStart w:id="26" w:name="_Toc21708"/>
      <w:bookmarkStart w:id="27" w:name="_Toc32766"/>
      <w:bookmarkStart w:id="28" w:name="_Toc29341"/>
      <w:bookmarkStart w:id="29" w:name="_Toc11349"/>
      <w:r>
        <w:rPr>
          <w:rFonts w:hint="eastAsia" w:ascii="黑体" w:hAnsi="黑体" w:eastAsia="黑体" w:cs="Times New Roman"/>
          <w:bCs/>
          <w:color w:val="auto"/>
          <w:sz w:val="36"/>
          <w:szCs w:val="36"/>
        </w:rPr>
        <w:t>前  言</w:t>
      </w:r>
      <w:bookmarkEnd w:id="19"/>
      <w:bookmarkEnd w:id="20"/>
      <w:bookmarkEnd w:id="21"/>
      <w:bookmarkEnd w:id="22"/>
      <w:bookmarkEnd w:id="23"/>
      <w:bookmarkEnd w:id="24"/>
      <w:bookmarkEnd w:id="25"/>
      <w:bookmarkEnd w:id="26"/>
      <w:bookmarkEnd w:id="27"/>
      <w:bookmarkEnd w:id="28"/>
      <w:bookmarkEnd w:id="29"/>
    </w:p>
    <w:p>
      <w:pPr>
        <w:widowControl/>
        <w:adjustRightInd w:val="0"/>
        <w:snapToGrid w:val="0"/>
        <w:spacing w:line="360" w:lineRule="auto"/>
        <w:ind w:firstLine="640"/>
        <w:rPr>
          <w:rFonts w:ascii="仿宋_GB2312" w:hAnsi="黑体" w:cs="Times New Roman"/>
          <w:color w:val="auto"/>
          <w:szCs w:val="32"/>
        </w:rPr>
      </w:pPr>
      <w:r>
        <w:rPr>
          <w:rFonts w:hint="eastAsia" w:ascii="仿宋_GB2312" w:hAnsi="黑体" w:cs="Times New Roman"/>
          <w:color w:val="auto"/>
          <w:szCs w:val="32"/>
        </w:rPr>
        <w:t>武汉经济技术开发区（以下简称“武汉经开区”或“经开区”）始建于1991年，1993年4月经国务院批准为国家级经济技术开发区。“十三五”以来，武汉经开区高度重视科技创新工作，</w:t>
      </w:r>
      <w:r>
        <w:rPr>
          <w:rFonts w:hint="eastAsia" w:ascii="仿宋_GB2312" w:hAnsi="黑体" w:cs="Times New Roman"/>
          <w:color w:val="auto"/>
          <w:szCs w:val="32"/>
          <w:lang w:eastAsia="zh-Hans"/>
        </w:rPr>
        <w:t>积极</w:t>
      </w:r>
      <w:r>
        <w:rPr>
          <w:rFonts w:hint="eastAsia" w:ascii="仿宋_GB2312" w:hAnsi="黑体" w:cs="Times New Roman"/>
          <w:color w:val="auto"/>
          <w:szCs w:val="32"/>
        </w:rPr>
        <w:t>谋划布局科创类项目，大力发展高新技术产业，培育引进创新型企业，科技创新资源加速集聚，创新能力进一步增强。</w:t>
      </w:r>
    </w:p>
    <w:p>
      <w:pPr>
        <w:widowControl/>
        <w:adjustRightInd w:val="0"/>
        <w:snapToGrid w:val="0"/>
        <w:spacing w:line="360" w:lineRule="auto"/>
        <w:ind w:firstLine="640"/>
        <w:rPr>
          <w:rFonts w:ascii="仿宋_GB2312" w:hAnsi="黑体" w:cs="Times New Roman"/>
          <w:color w:val="auto"/>
          <w:szCs w:val="32"/>
        </w:rPr>
      </w:pPr>
      <w:r>
        <w:rPr>
          <w:rFonts w:hint="eastAsia" w:ascii="仿宋_GB2312" w:hAnsi="黑体" w:cs="Times New Roman"/>
          <w:color w:val="auto"/>
          <w:szCs w:val="32"/>
        </w:rPr>
        <w:t>当前，世界面临百年未有之大变局，新一轮科技革命和产业变革正在重构全球创新版图、重塑全球经济结构。我国经济迈入高质量发展阶段，科技自立自强成为国家发展的战略支撑，创新成为引领发展的第一动力。面对国际形势变化与国家发展需求，国家、省市加强科技创新战略布局，加快围绕产业链部署创新链、围绕创新链布局产业链，全力建设具有全国影响力的科技创新中心。</w:t>
      </w:r>
    </w:p>
    <w:p>
      <w:pPr>
        <w:pStyle w:val="2"/>
        <w:adjustRightInd w:val="0"/>
        <w:snapToGrid w:val="0"/>
        <w:spacing w:line="360" w:lineRule="auto"/>
        <w:ind w:firstLine="640"/>
        <w:rPr>
          <w:rFonts w:hint="default" w:ascii="仿宋_GB2312" w:hAnsi="黑体" w:cs="Times New Roman"/>
          <w:bCs/>
          <w:color w:val="auto"/>
          <w:szCs w:val="32"/>
        </w:rPr>
        <w:sectPr>
          <w:headerReference r:id="rId12" w:type="default"/>
          <w:footerReference r:id="rId13" w:type="default"/>
          <w:pgSz w:w="11906" w:h="16838"/>
          <w:pgMar w:top="1440" w:right="1800" w:bottom="1440" w:left="1800" w:header="851" w:footer="992" w:gutter="0"/>
          <w:pgNumType w:start="1"/>
          <w:cols w:space="425" w:num="1"/>
          <w:docGrid w:type="lines" w:linePitch="312" w:charSpace="0"/>
        </w:sectPr>
      </w:pPr>
      <w:r>
        <w:rPr>
          <w:rFonts w:ascii="仿宋_GB2312" w:hAnsi="黑体" w:cs="Times New Roman"/>
          <w:color w:val="auto"/>
          <w:szCs w:val="32"/>
        </w:rPr>
        <w:t>“十四五”时期是武汉经开区全面迈向“二次创业”新征程、实现“追、转、超”的关键五年，为</w:t>
      </w:r>
      <w:r>
        <w:rPr>
          <w:rFonts w:ascii="仿宋_GB2312" w:hAnsi="黑体" w:cs="Times New Roman"/>
          <w:bCs/>
          <w:color w:val="auto"/>
          <w:szCs w:val="32"/>
        </w:rPr>
        <w:t>更好地发挥科技创新对经济社会发展的引领和支撑作用，全面部署科技创新工作，进一步提升创新驱动产出效应，</w:t>
      </w:r>
      <w:r>
        <w:rPr>
          <w:rFonts w:ascii="仿宋_GB2312" w:hAnsi="黑体" w:cs="Times New Roman"/>
          <w:color w:val="auto"/>
          <w:szCs w:val="32"/>
        </w:rPr>
        <w:t>依据《湖北省科技创新“十四五”规划》《武汉市科技创新发展“十四五”规划》《武汉经济技术开发区国民经济与社会发展第十四个五年规划和2035年远景目标纲要》等，制定本规划</w:t>
      </w:r>
      <w:r>
        <w:rPr>
          <w:rFonts w:ascii="仿宋_GB2312" w:hAnsi="黑体" w:cs="Times New Roman"/>
          <w:bCs/>
          <w:color w:val="auto"/>
          <w:szCs w:val="32"/>
        </w:rPr>
        <w:t>。</w:t>
      </w:r>
      <w:bookmarkStart w:id="30" w:name="_Toc7063"/>
      <w:bookmarkStart w:id="31" w:name="_Toc29722"/>
      <w:bookmarkStart w:id="32" w:name="_Toc12664"/>
      <w:bookmarkStart w:id="33" w:name="_Toc32401"/>
      <w:bookmarkStart w:id="34" w:name="_Toc6342"/>
      <w:bookmarkStart w:id="35" w:name="_Toc20827"/>
      <w:bookmarkStart w:id="36" w:name="_Toc14808"/>
    </w:p>
    <w:p>
      <w:pPr>
        <w:autoSpaceDE w:val="0"/>
        <w:autoSpaceDN w:val="0"/>
        <w:adjustRightInd w:val="0"/>
        <w:snapToGrid w:val="0"/>
        <w:spacing w:line="360" w:lineRule="auto"/>
        <w:ind w:firstLine="643"/>
        <w:outlineLvl w:val="0"/>
        <w:rPr>
          <w:rFonts w:ascii="黑体" w:hAnsi="黑体" w:eastAsia="黑体" w:cs="Times New Roman"/>
          <w:b/>
          <w:color w:val="auto"/>
          <w:szCs w:val="32"/>
        </w:rPr>
      </w:pPr>
      <w:bookmarkStart w:id="37" w:name="_Toc9061"/>
      <w:bookmarkStart w:id="38" w:name="_Toc29849"/>
      <w:r>
        <w:rPr>
          <w:rFonts w:hint="eastAsia" w:ascii="黑体" w:hAnsi="黑体" w:eastAsia="黑体" w:cs="Times New Roman"/>
          <w:b/>
          <w:color w:val="auto"/>
          <w:szCs w:val="32"/>
        </w:rPr>
        <w:t>一、发展基础与形势</w:t>
      </w:r>
      <w:bookmarkEnd w:id="30"/>
      <w:bookmarkEnd w:id="31"/>
      <w:bookmarkEnd w:id="32"/>
      <w:bookmarkEnd w:id="33"/>
      <w:bookmarkEnd w:id="34"/>
      <w:bookmarkEnd w:id="35"/>
      <w:bookmarkEnd w:id="36"/>
      <w:bookmarkEnd w:id="37"/>
      <w:bookmarkEnd w:id="38"/>
    </w:p>
    <w:p>
      <w:pPr>
        <w:adjustRightInd w:val="0"/>
        <w:snapToGrid w:val="0"/>
        <w:spacing w:line="360" w:lineRule="auto"/>
        <w:ind w:firstLine="321" w:firstLineChars="100"/>
        <w:outlineLvl w:val="1"/>
        <w:rPr>
          <w:rFonts w:ascii="华文中宋" w:hAnsi="华文中宋" w:eastAsia="华文中宋" w:cs="Times New Roman"/>
          <w:b/>
          <w:color w:val="auto"/>
          <w:szCs w:val="32"/>
        </w:rPr>
      </w:pPr>
      <w:bookmarkStart w:id="39" w:name="_Toc25493"/>
      <w:bookmarkStart w:id="40" w:name="_Toc32562"/>
      <w:bookmarkStart w:id="41" w:name="_Toc9708"/>
      <w:bookmarkStart w:id="42" w:name="_Toc15749"/>
      <w:r>
        <w:rPr>
          <w:rFonts w:hint="eastAsia" w:ascii="华文中宋" w:hAnsi="华文中宋" w:eastAsia="华文中宋" w:cs="Times New Roman"/>
          <w:b/>
          <w:color w:val="auto"/>
          <w:szCs w:val="32"/>
        </w:rPr>
        <w:t>（一）“十三五”科技创新发展基础</w:t>
      </w:r>
      <w:bookmarkEnd w:id="39"/>
      <w:bookmarkEnd w:id="40"/>
      <w:bookmarkEnd w:id="41"/>
      <w:bookmarkEnd w:id="42"/>
    </w:p>
    <w:p>
      <w:pPr>
        <w:autoSpaceDE w:val="0"/>
        <w:autoSpaceDN w:val="0"/>
        <w:adjustRightInd w:val="0"/>
        <w:snapToGrid w:val="0"/>
        <w:spacing w:line="360" w:lineRule="auto"/>
        <w:ind w:firstLine="643"/>
        <w:outlineLvl w:val="2"/>
        <w:rPr>
          <w:rFonts w:ascii="楷体_GB2312" w:hAnsi="楷体" w:eastAsia="楷体_GB2312" w:cs="Times New Roman"/>
          <w:b/>
          <w:bCs/>
          <w:color w:val="auto"/>
          <w:szCs w:val="32"/>
        </w:rPr>
      </w:pPr>
      <w:r>
        <w:rPr>
          <w:rFonts w:hint="eastAsia" w:ascii="楷体_GB2312" w:hAnsi="楷体" w:eastAsia="楷体_GB2312" w:cs="Times New Roman"/>
          <w:b/>
          <w:bCs/>
          <w:color w:val="auto"/>
          <w:szCs w:val="32"/>
        </w:rPr>
        <w:t>1</w:t>
      </w:r>
      <w:r>
        <w:rPr>
          <w:rFonts w:ascii="楷体_GB2312" w:hAnsi="楷体" w:eastAsia="楷体_GB2312" w:cs="Times New Roman"/>
          <w:b/>
          <w:bCs/>
          <w:color w:val="auto"/>
          <w:szCs w:val="32"/>
        </w:rPr>
        <w:t xml:space="preserve">. </w:t>
      </w:r>
      <w:r>
        <w:rPr>
          <w:rFonts w:hint="eastAsia" w:ascii="楷体_GB2312" w:hAnsi="楷体" w:eastAsia="楷体_GB2312" w:cs="Times New Roman"/>
          <w:b/>
          <w:bCs/>
          <w:color w:val="auto"/>
          <w:szCs w:val="32"/>
        </w:rPr>
        <w:t>高新产业快速发展，主导产业创新能力不断增强</w:t>
      </w:r>
    </w:p>
    <w:p>
      <w:pPr>
        <w:adjustRightInd w:val="0"/>
        <w:snapToGrid w:val="0"/>
        <w:spacing w:line="360" w:lineRule="auto"/>
        <w:ind w:firstLine="640"/>
        <w:rPr>
          <w:rFonts w:ascii="仿宋_GB2312" w:hAnsi="仿宋" w:cs="仿宋"/>
          <w:color w:val="auto"/>
          <w:szCs w:val="32"/>
        </w:rPr>
      </w:pPr>
      <w:r>
        <w:rPr>
          <w:rFonts w:hint="eastAsia" w:ascii="仿宋_GB2312" w:hAnsi="仿宋" w:cs="仿宋"/>
          <w:color w:val="auto"/>
          <w:szCs w:val="32"/>
        </w:rPr>
        <w:t>“十三五”期间，全区高新技术产业实现快速增长，2019年高新技术产业增加值占地区生产总值比重为40.1%。汽车及零部件产业转型升级步伐加快，积极部署新能源和智能网联汽车，在车路协同、智能网联汽车生态系统等领域持续发力。新能源产业强势崛起，氢能应用领域经济成效渐显，打造了国内最先进、年产能第一的氢能发动机系统自动装配生产线，自主研发的膜电极生产线解决了我国氢能产业发展的“卡脖子”问题。新材料产业取得突破性进展，建成国际先进的集成电路芯片CMP抛光垫研发生产基地，产品填补国内空白。生物医药、智能家居、数字经济等新兴产业初具规模</w:t>
      </w:r>
      <w:r>
        <w:rPr>
          <w:rFonts w:hint="eastAsia" w:ascii="仿宋_GB2312" w:hAnsi="仿宋" w:cs="仿宋"/>
          <w:color w:val="auto"/>
          <w:szCs w:val="32"/>
          <w:lang w:eastAsia="zh-Hans"/>
        </w:rPr>
        <w:t>。</w:t>
      </w:r>
    </w:p>
    <w:p>
      <w:pPr>
        <w:autoSpaceDE w:val="0"/>
        <w:autoSpaceDN w:val="0"/>
        <w:adjustRightInd w:val="0"/>
        <w:snapToGrid w:val="0"/>
        <w:spacing w:line="360" w:lineRule="auto"/>
        <w:ind w:firstLine="643"/>
        <w:outlineLvl w:val="2"/>
        <w:rPr>
          <w:rFonts w:ascii="楷体_GB2312" w:hAnsi="楷体" w:eastAsia="楷体_GB2312" w:cs="Times New Roman"/>
          <w:b/>
          <w:bCs/>
          <w:color w:val="auto"/>
          <w:szCs w:val="32"/>
        </w:rPr>
      </w:pPr>
      <w:r>
        <w:rPr>
          <w:rFonts w:hint="eastAsia" w:ascii="楷体_GB2312" w:hAnsi="楷体" w:eastAsia="楷体_GB2312" w:cs="Times New Roman"/>
          <w:b/>
          <w:bCs/>
          <w:color w:val="auto"/>
          <w:szCs w:val="32"/>
        </w:rPr>
        <w:t>2</w:t>
      </w:r>
      <w:r>
        <w:rPr>
          <w:rFonts w:ascii="楷体_GB2312" w:hAnsi="楷体" w:eastAsia="楷体_GB2312" w:cs="Times New Roman"/>
          <w:b/>
          <w:bCs/>
          <w:color w:val="auto"/>
          <w:szCs w:val="32"/>
        </w:rPr>
        <w:t xml:space="preserve">. </w:t>
      </w:r>
      <w:r>
        <w:rPr>
          <w:rFonts w:hint="eastAsia" w:ascii="楷体_GB2312" w:hAnsi="楷体" w:eastAsia="楷体_GB2312" w:cs="Times New Roman"/>
          <w:b/>
          <w:bCs/>
          <w:color w:val="auto"/>
          <w:szCs w:val="32"/>
        </w:rPr>
        <w:t>科技投入持续增加，重点领域创新成果加快涌现</w:t>
      </w:r>
      <w:bookmarkStart w:id="43" w:name="_Toc69218731"/>
      <w:bookmarkStart w:id="44" w:name="_Toc69218624"/>
    </w:p>
    <w:p>
      <w:pPr>
        <w:adjustRightInd w:val="0"/>
        <w:snapToGrid w:val="0"/>
        <w:spacing w:line="360" w:lineRule="auto"/>
        <w:ind w:firstLine="640"/>
        <w:rPr>
          <w:rFonts w:ascii="仿宋_GB2312" w:hAnsi="仿宋" w:cs="仿宋"/>
          <w:color w:val="auto"/>
          <w:szCs w:val="32"/>
        </w:rPr>
      </w:pPr>
      <w:r>
        <w:rPr>
          <w:rFonts w:hint="eastAsia" w:ascii="仿宋_GB2312" w:hAnsi="仿宋" w:cs="仿宋"/>
          <w:color w:val="auto"/>
          <w:szCs w:val="32"/>
        </w:rPr>
        <w:t>2020年，全社会研发经费投入占地区生产总值比重达到3.02%。知识产权数量和质量实现双提升，发明专利申请量和授权量五年年均增长率分别为35.3%和17.6%，每万人发明专利拥有量达到</w:t>
      </w:r>
      <w:r>
        <w:rPr>
          <w:rFonts w:ascii="仿宋_GB2312" w:hAnsi="仿宋" w:cs="仿宋"/>
          <w:color w:val="auto"/>
          <w:szCs w:val="32"/>
        </w:rPr>
        <w:t>55.4件</w:t>
      </w:r>
      <w:r>
        <w:rPr>
          <w:rFonts w:hint="eastAsia" w:ascii="仿宋_GB2312" w:hAnsi="仿宋" w:cs="仿宋"/>
          <w:color w:val="auto"/>
          <w:szCs w:val="32"/>
        </w:rPr>
        <w:t>；获批建设国家知识产权示范园区，搭建了全省唯一的国家级快维中心——中国武汉（汽车及零部件）知识产权快速维权中心，极大提高了相关领域知识产权审批、维权的时效性。涌现出一批创新技术和产品，大跨度缆索承重桥梁抗风关键技术与工程应用、高精度高强度中厚板结构件复合精冲成形技术与装备等多项成果获得国家级科技奖项。“十三五”期间，全区技术合同成交额累计达</w:t>
      </w:r>
      <w:r>
        <w:rPr>
          <w:rFonts w:ascii="仿宋_GB2312" w:hAnsi="仿宋" w:cs="仿宋"/>
          <w:color w:val="auto"/>
          <w:szCs w:val="32"/>
        </w:rPr>
        <w:t>80.2</w:t>
      </w:r>
      <w:r>
        <w:rPr>
          <w:rFonts w:hint="eastAsia" w:ascii="仿宋_GB2312" w:hAnsi="仿宋" w:cs="仿宋"/>
          <w:color w:val="auto"/>
          <w:szCs w:val="32"/>
        </w:rPr>
        <w:t>亿元。</w:t>
      </w:r>
      <w:bookmarkEnd w:id="43"/>
      <w:bookmarkEnd w:id="44"/>
    </w:p>
    <w:p>
      <w:pPr>
        <w:autoSpaceDE w:val="0"/>
        <w:autoSpaceDN w:val="0"/>
        <w:adjustRightInd w:val="0"/>
        <w:snapToGrid w:val="0"/>
        <w:spacing w:line="360" w:lineRule="auto"/>
        <w:ind w:firstLine="643"/>
        <w:outlineLvl w:val="2"/>
        <w:rPr>
          <w:rFonts w:ascii="楷体_GB2312" w:hAnsi="楷体" w:eastAsia="楷体_GB2312" w:cs="Times New Roman"/>
          <w:b/>
          <w:bCs/>
          <w:color w:val="auto"/>
          <w:szCs w:val="32"/>
        </w:rPr>
      </w:pPr>
      <w:r>
        <w:rPr>
          <w:rFonts w:hint="eastAsia" w:ascii="楷体_GB2312" w:hAnsi="楷体" w:eastAsia="楷体_GB2312" w:cs="Times New Roman"/>
          <w:b/>
          <w:bCs/>
          <w:color w:val="auto"/>
          <w:szCs w:val="32"/>
        </w:rPr>
        <w:t>3</w:t>
      </w:r>
      <w:r>
        <w:rPr>
          <w:rFonts w:ascii="楷体_GB2312" w:hAnsi="楷体" w:eastAsia="楷体_GB2312" w:cs="Times New Roman"/>
          <w:b/>
          <w:bCs/>
          <w:color w:val="auto"/>
          <w:szCs w:val="32"/>
        </w:rPr>
        <w:t xml:space="preserve">. </w:t>
      </w:r>
      <w:r>
        <w:rPr>
          <w:rFonts w:hint="eastAsia" w:ascii="楷体_GB2312" w:hAnsi="楷体" w:eastAsia="楷体_GB2312" w:cs="Times New Roman"/>
          <w:b/>
          <w:bCs/>
          <w:color w:val="auto"/>
          <w:szCs w:val="32"/>
        </w:rPr>
        <w:t>创新平台加快布局，新型研发机构加速落地建设</w:t>
      </w:r>
    </w:p>
    <w:p>
      <w:pPr>
        <w:adjustRightInd w:val="0"/>
        <w:snapToGrid w:val="0"/>
        <w:spacing w:line="360" w:lineRule="auto"/>
        <w:ind w:firstLine="640"/>
        <w:rPr>
          <w:rFonts w:ascii="仿宋_GB2312" w:hAnsi="仿宋" w:cs="仿宋"/>
          <w:b/>
          <w:bCs/>
          <w:color w:val="auto"/>
          <w:szCs w:val="32"/>
          <w:lang w:eastAsia="zh-Hans"/>
        </w:rPr>
      </w:pPr>
      <w:r>
        <w:rPr>
          <w:rFonts w:hint="eastAsia" w:ascii="仿宋_GB2312" w:hAnsi="仿宋" w:cs="仿宋"/>
          <w:color w:val="auto"/>
          <w:szCs w:val="32"/>
        </w:rPr>
        <w:t>截至2</w:t>
      </w:r>
      <w:r>
        <w:rPr>
          <w:rFonts w:ascii="仿宋_GB2312" w:hAnsi="仿宋" w:cs="仿宋"/>
          <w:color w:val="auto"/>
          <w:szCs w:val="32"/>
        </w:rPr>
        <w:t>020</w:t>
      </w:r>
      <w:r>
        <w:rPr>
          <w:rFonts w:hint="eastAsia" w:ascii="仿宋_GB2312" w:hAnsi="仿宋" w:cs="仿宋"/>
          <w:color w:val="auto"/>
          <w:szCs w:val="32"/>
        </w:rPr>
        <w:t>年底，累计建成国家企业技术中心</w:t>
      </w:r>
      <w:r>
        <w:rPr>
          <w:rFonts w:ascii="仿宋_GB2312" w:hAnsi="仿宋" w:cs="仿宋"/>
          <w:color w:val="auto"/>
          <w:szCs w:val="32"/>
        </w:rPr>
        <w:t>2</w:t>
      </w:r>
      <w:r>
        <w:rPr>
          <w:rFonts w:hint="eastAsia" w:ascii="仿宋_GB2312" w:hAnsi="仿宋" w:cs="仿宋"/>
          <w:color w:val="auto"/>
          <w:szCs w:val="32"/>
        </w:rPr>
        <w:t>家，</w:t>
      </w:r>
      <w:r>
        <w:rPr>
          <w:rFonts w:hint="eastAsia" w:ascii="仿宋_GB2312" w:hAnsi="仿宋" w:cs="仿宋"/>
          <w:color w:val="auto"/>
          <w:szCs w:val="32"/>
          <w:lang w:eastAsia="zh-Hans"/>
        </w:rPr>
        <w:t>省级企业</w:t>
      </w:r>
      <w:r>
        <w:rPr>
          <w:rFonts w:hint="eastAsia" w:ascii="仿宋_GB2312" w:hAnsi="仿宋" w:cs="仿宋"/>
          <w:color w:val="auto"/>
          <w:szCs w:val="32"/>
        </w:rPr>
        <w:t>研发机构5</w:t>
      </w:r>
      <w:r>
        <w:rPr>
          <w:rFonts w:ascii="仿宋_GB2312" w:hAnsi="仿宋" w:cs="仿宋"/>
          <w:color w:val="auto"/>
          <w:szCs w:val="32"/>
        </w:rPr>
        <w:t>3</w:t>
      </w:r>
      <w:r>
        <w:rPr>
          <w:rFonts w:hint="eastAsia" w:ascii="仿宋_GB2312" w:hAnsi="仿宋" w:cs="仿宋"/>
          <w:color w:val="auto"/>
          <w:szCs w:val="32"/>
        </w:rPr>
        <w:t>家，院士专家工作站5家、博士后科研工作站7家。“十三五”期间，</w:t>
      </w:r>
      <w:r>
        <w:rPr>
          <w:rFonts w:hint="eastAsia" w:ascii="仿宋_GB2312" w:hAnsi="仿宋" w:cs="仿宋"/>
          <w:color w:val="auto"/>
          <w:szCs w:val="32"/>
          <w:lang w:eastAsia="zh-Hans"/>
        </w:rPr>
        <w:t>新增国内外500强</w:t>
      </w:r>
      <w:r>
        <w:rPr>
          <w:rFonts w:hint="eastAsia" w:ascii="仿宋_GB2312" w:hAnsi="仿宋" w:cs="仿宋"/>
          <w:color w:val="auto"/>
          <w:szCs w:val="32"/>
        </w:rPr>
        <w:t>企业</w:t>
      </w:r>
      <w:r>
        <w:rPr>
          <w:rFonts w:hint="eastAsia" w:ascii="仿宋_GB2312" w:hAnsi="仿宋" w:cs="仿宋"/>
          <w:color w:val="auto"/>
          <w:szCs w:val="32"/>
          <w:lang w:eastAsia="zh-Hans"/>
        </w:rPr>
        <w:t>研发机构</w:t>
      </w:r>
      <w:r>
        <w:rPr>
          <w:rFonts w:hint="eastAsia" w:ascii="仿宋_GB2312" w:hAnsi="仿宋" w:cs="仿宋"/>
          <w:color w:val="auto"/>
          <w:szCs w:val="32"/>
        </w:rPr>
        <w:t>48</w:t>
      </w:r>
      <w:r>
        <w:rPr>
          <w:rFonts w:hint="eastAsia" w:ascii="仿宋_GB2312" w:hAnsi="仿宋" w:cs="仿宋"/>
          <w:color w:val="auto"/>
          <w:szCs w:val="32"/>
          <w:lang w:eastAsia="zh-Hans"/>
        </w:rPr>
        <w:t>家。引进</w:t>
      </w:r>
      <w:r>
        <w:rPr>
          <w:rFonts w:hint="eastAsia" w:ascii="仿宋_GB2312" w:hAnsi="仿宋" w:cs="仿宋"/>
          <w:color w:val="auto"/>
          <w:szCs w:val="32"/>
        </w:rPr>
        <w:t>建设</w:t>
      </w:r>
      <w:r>
        <w:rPr>
          <w:rFonts w:hint="eastAsia" w:ascii="仿宋_GB2312" w:hAnsi="仿宋" w:cs="仿宋"/>
          <w:color w:val="auto"/>
          <w:szCs w:val="32"/>
          <w:lang w:eastAsia="zh-Hans"/>
        </w:rPr>
        <w:t>中科先进院、新能源汽车研究院等新型研发机构</w:t>
      </w:r>
      <w:r>
        <w:rPr>
          <w:rFonts w:hint="eastAsia" w:ascii="仿宋_GB2312" w:hAnsi="仿宋" w:cs="仿宋"/>
          <w:color w:val="auto"/>
          <w:szCs w:val="32"/>
        </w:rPr>
        <w:t>4</w:t>
      </w:r>
      <w:r>
        <w:rPr>
          <w:rFonts w:hint="eastAsia" w:ascii="仿宋_GB2312" w:hAnsi="仿宋" w:cs="仿宋"/>
          <w:color w:val="auto"/>
          <w:szCs w:val="32"/>
          <w:lang w:eastAsia="zh-Hans"/>
        </w:rPr>
        <w:t>家</w:t>
      </w:r>
      <w:r>
        <w:rPr>
          <w:rStyle w:val="34"/>
          <w:rFonts w:hint="eastAsia" w:ascii="仿宋_GB2312" w:hAnsi="仿宋" w:cs="仿宋"/>
          <w:color w:val="auto"/>
          <w:szCs w:val="32"/>
          <w:lang w:eastAsia="zh-Hans"/>
        </w:rPr>
        <w:footnoteReference w:id="0"/>
      </w:r>
      <w:r>
        <w:rPr>
          <w:rFonts w:hint="eastAsia" w:ascii="仿宋_GB2312" w:hAnsi="仿宋" w:cs="仿宋"/>
          <w:color w:val="auto"/>
          <w:szCs w:val="32"/>
        </w:rPr>
        <w:t>，带动中国技术交易所武汉科技成果转化服务中心、中日医疗科技创新中心等一批公共服务平台落户</w:t>
      </w:r>
      <w:r>
        <w:rPr>
          <w:rFonts w:hint="eastAsia" w:ascii="仿宋_GB2312" w:hAnsi="仿宋" w:cs="仿宋"/>
          <w:color w:val="auto"/>
          <w:szCs w:val="32"/>
          <w:lang w:eastAsia="zh-Hans"/>
        </w:rPr>
        <w:t>。获批国家检验检测高技术服务业集聚区（武汉）、国家新能源汽车质检中心，</w:t>
      </w:r>
      <w:r>
        <w:rPr>
          <w:rFonts w:hint="eastAsia" w:ascii="仿宋_GB2312" w:hAnsi="仿宋" w:cs="仿宋"/>
          <w:color w:val="auto"/>
          <w:szCs w:val="32"/>
        </w:rPr>
        <w:t>围绕</w:t>
      </w:r>
      <w:r>
        <w:rPr>
          <w:rFonts w:hint="eastAsia" w:ascii="仿宋_GB2312" w:hAnsi="仿宋" w:cs="仿宋"/>
          <w:color w:val="auto"/>
          <w:szCs w:val="32"/>
          <w:lang w:eastAsia="zh-Hans"/>
        </w:rPr>
        <w:t>汽车及零部件、电子电器、工程、环保等领域</w:t>
      </w:r>
      <w:r>
        <w:rPr>
          <w:rFonts w:hint="eastAsia" w:ascii="仿宋_GB2312" w:hAnsi="仿宋" w:cs="仿宋"/>
          <w:color w:val="auto"/>
          <w:szCs w:val="32"/>
        </w:rPr>
        <w:t>，集聚</w:t>
      </w:r>
      <w:r>
        <w:rPr>
          <w:rFonts w:hint="eastAsia" w:ascii="仿宋_GB2312" w:hAnsi="仿宋" w:cs="仿宋"/>
          <w:color w:val="auto"/>
          <w:szCs w:val="32"/>
          <w:lang w:eastAsia="zh-Hans"/>
        </w:rPr>
        <w:t>检验检测机构近百家。</w:t>
      </w:r>
    </w:p>
    <w:p>
      <w:pPr>
        <w:autoSpaceDE w:val="0"/>
        <w:autoSpaceDN w:val="0"/>
        <w:adjustRightInd w:val="0"/>
        <w:snapToGrid w:val="0"/>
        <w:spacing w:line="360" w:lineRule="auto"/>
        <w:ind w:firstLine="643"/>
        <w:outlineLvl w:val="2"/>
        <w:rPr>
          <w:rFonts w:ascii="楷体_GB2312" w:hAnsi="楷体" w:eastAsia="楷体_GB2312" w:cs="Times New Roman"/>
          <w:b/>
          <w:bCs/>
          <w:color w:val="auto"/>
          <w:szCs w:val="32"/>
        </w:rPr>
      </w:pPr>
      <w:r>
        <w:rPr>
          <w:rFonts w:hint="eastAsia" w:ascii="楷体_GB2312" w:hAnsi="楷体" w:eastAsia="楷体_GB2312" w:cs="Times New Roman"/>
          <w:b/>
          <w:bCs/>
          <w:color w:val="auto"/>
          <w:szCs w:val="32"/>
        </w:rPr>
        <w:t>4</w:t>
      </w:r>
      <w:r>
        <w:rPr>
          <w:rFonts w:ascii="楷体_GB2312" w:hAnsi="楷体" w:eastAsia="楷体_GB2312" w:cs="Times New Roman"/>
          <w:b/>
          <w:bCs/>
          <w:color w:val="auto"/>
          <w:szCs w:val="32"/>
        </w:rPr>
        <w:t xml:space="preserve">. </w:t>
      </w:r>
      <w:r>
        <w:rPr>
          <w:rFonts w:hint="eastAsia" w:ascii="楷体_GB2312" w:hAnsi="楷体" w:eastAsia="楷体_GB2312" w:cs="Times New Roman"/>
          <w:b/>
          <w:bCs/>
          <w:color w:val="auto"/>
          <w:szCs w:val="32"/>
        </w:rPr>
        <w:t>创业载体加快建设，科技企业数量实现大幅增长</w:t>
      </w:r>
    </w:p>
    <w:p>
      <w:pPr>
        <w:adjustRightInd w:val="0"/>
        <w:snapToGrid w:val="0"/>
        <w:spacing w:line="360" w:lineRule="auto"/>
        <w:ind w:firstLine="640"/>
        <w:rPr>
          <w:rFonts w:ascii="仿宋_GB2312" w:hAnsi="仿宋_GB2312" w:cs="仿宋_GB2312"/>
          <w:color w:val="auto"/>
        </w:rPr>
      </w:pPr>
      <w:r>
        <w:rPr>
          <w:rFonts w:hint="eastAsia" w:ascii="仿宋_GB2312" w:hAnsi="仿宋_GB2312" w:cs="仿宋_GB2312"/>
          <w:color w:val="auto"/>
          <w:szCs w:val="32"/>
        </w:rPr>
        <w:t>“众创空间-孵化器-加速器”孵化链条加快构建，已建成</w:t>
      </w:r>
      <w:r>
        <w:rPr>
          <w:rFonts w:hint="eastAsia" w:ascii="仿宋_GB2312" w:hAnsi="仿宋_GB2312" w:cs="仿宋_GB2312"/>
          <w:color w:val="auto"/>
        </w:rPr>
        <w:t>众创空间3家、科技企业孵化器5家。</w:t>
      </w:r>
      <w:r>
        <w:rPr>
          <w:rFonts w:hint="eastAsia" w:ascii="仿宋_GB2312" w:hAnsi="仿宋_GB2312" w:cs="仿宋_GB2312"/>
          <w:color w:val="auto"/>
          <w:lang w:eastAsia="zh-Hans"/>
        </w:rPr>
        <w:t>经开创服获批国家级科技企业孵化器</w:t>
      </w:r>
      <w:r>
        <w:rPr>
          <w:rFonts w:hint="eastAsia" w:ascii="仿宋_GB2312" w:hAnsi="仿宋_GB2312" w:cs="仿宋_GB2312"/>
          <w:color w:val="auto"/>
        </w:rPr>
        <w:t>，中科先进技术产业园、哈工大机器人武汉产业基地等载体加快建设，为高科技企业提供融资、技术路线咨询等服务。南太子湖创新谷是“武汉市创谷计划”首批示范园区，</w:t>
      </w:r>
      <w:r>
        <w:rPr>
          <w:rFonts w:hint="eastAsia" w:ascii="仿宋_GB2312" w:hAnsi="仿宋_GB2312" w:cs="仿宋_GB2312"/>
          <w:color w:val="auto"/>
          <w:szCs w:val="32"/>
        </w:rPr>
        <w:t>打造“孵化器+科技园”模式，入驻平台类企业70余家，累计服务企业200多家</w:t>
      </w:r>
      <w:r>
        <w:rPr>
          <w:rFonts w:hint="eastAsia" w:ascii="仿宋_GB2312" w:hAnsi="仿宋_GB2312" w:cs="仿宋_GB2312"/>
          <w:color w:val="auto"/>
        </w:rPr>
        <w:t>。</w:t>
      </w:r>
      <w:r>
        <w:rPr>
          <w:rFonts w:hint="eastAsia" w:ascii="仿宋_GB2312" w:hAnsi="仿宋_GB2312" w:cs="仿宋_GB2312"/>
          <w:color w:val="auto"/>
          <w:szCs w:val="32"/>
        </w:rPr>
        <w:t>2020年,全区市场主体超过3.5万家，高新技术企业达到331家，分别较“十二五”末增长109%、135%。累计培育科技“小巨人”企业50家、区级瞪羚企业33家，诞生独角兽企业1家。</w:t>
      </w:r>
    </w:p>
    <w:p>
      <w:pPr>
        <w:autoSpaceDE w:val="0"/>
        <w:autoSpaceDN w:val="0"/>
        <w:adjustRightInd w:val="0"/>
        <w:snapToGrid w:val="0"/>
        <w:spacing w:line="360" w:lineRule="auto"/>
        <w:ind w:firstLine="643"/>
        <w:outlineLvl w:val="2"/>
        <w:rPr>
          <w:rFonts w:ascii="楷体_GB2312" w:hAnsi="楷体" w:eastAsia="楷体_GB2312" w:cs="Times New Roman"/>
          <w:b/>
          <w:bCs/>
          <w:color w:val="auto"/>
          <w:szCs w:val="32"/>
        </w:rPr>
      </w:pPr>
      <w:bookmarkStart w:id="45" w:name="_Toc69218626"/>
      <w:bookmarkStart w:id="46" w:name="_Toc69218733"/>
      <w:r>
        <w:rPr>
          <w:rFonts w:hint="eastAsia" w:ascii="楷体_GB2312" w:hAnsi="楷体" w:eastAsia="楷体_GB2312" w:cs="Times New Roman"/>
          <w:b/>
          <w:bCs/>
          <w:color w:val="auto"/>
          <w:szCs w:val="32"/>
        </w:rPr>
        <w:t>5</w:t>
      </w:r>
      <w:r>
        <w:rPr>
          <w:rFonts w:ascii="楷体_GB2312" w:hAnsi="楷体" w:eastAsia="楷体_GB2312" w:cs="Times New Roman"/>
          <w:b/>
          <w:bCs/>
          <w:color w:val="auto"/>
          <w:szCs w:val="32"/>
        </w:rPr>
        <w:t xml:space="preserve">. </w:t>
      </w:r>
      <w:r>
        <w:rPr>
          <w:rFonts w:hint="eastAsia" w:ascii="楷体_GB2312" w:hAnsi="楷体" w:eastAsia="楷体_GB2312" w:cs="Times New Roman"/>
          <w:b/>
          <w:bCs/>
          <w:color w:val="auto"/>
          <w:szCs w:val="32"/>
        </w:rPr>
        <w:t>创新人才加速集聚</w:t>
      </w:r>
      <w:bookmarkEnd w:id="45"/>
      <w:bookmarkEnd w:id="46"/>
      <w:r>
        <w:rPr>
          <w:rFonts w:hint="eastAsia" w:ascii="楷体_GB2312" w:hAnsi="楷体" w:eastAsia="楷体_GB2312" w:cs="Times New Roman"/>
          <w:b/>
          <w:bCs/>
          <w:color w:val="auto"/>
          <w:szCs w:val="32"/>
        </w:rPr>
        <w:t>，基金引导撬动作用初步形成</w:t>
      </w:r>
    </w:p>
    <w:p>
      <w:pPr>
        <w:adjustRightInd w:val="0"/>
        <w:snapToGrid w:val="0"/>
        <w:spacing w:line="360" w:lineRule="auto"/>
        <w:ind w:firstLine="640"/>
        <w:rPr>
          <w:rFonts w:ascii="仿宋_GB2312" w:hAnsi="仿宋_GB2312" w:cs="仿宋_GB2312"/>
          <w:color w:val="auto"/>
        </w:rPr>
      </w:pPr>
      <w:r>
        <w:rPr>
          <w:rFonts w:hint="eastAsia" w:ascii="仿宋_GB2312" w:hAnsi="仿宋_GB2312" w:cs="仿宋_GB2312"/>
          <w:color w:val="auto"/>
        </w:rPr>
        <w:t>“十三五”期间，武汉经开区大力实施“六大人才工程”，累计引进院士20人、“车谷英才”317人、各类专业技术人才13.6万人；建成大学生实习实训基地80多个，吸引创新创业大学生7.9万名。</w:t>
      </w:r>
      <w:r>
        <w:rPr>
          <w:rFonts w:hint="eastAsia" w:ascii="仿宋_GB2312" w:hAnsi="仿宋_GB2312" w:cs="仿宋_GB2312"/>
          <w:color w:val="auto"/>
          <w:lang w:eastAsia="zh-Hans"/>
        </w:rPr>
        <w:t>科技</w:t>
      </w:r>
      <w:r>
        <w:rPr>
          <w:rFonts w:hint="eastAsia" w:ascii="仿宋_GB2312" w:hAnsi="仿宋_GB2312" w:cs="仿宋_GB2312"/>
          <w:color w:val="auto"/>
        </w:rPr>
        <w:t>金融</w:t>
      </w:r>
      <w:r>
        <w:rPr>
          <w:rFonts w:hint="eastAsia" w:ascii="仿宋_GB2312" w:hAnsi="仿宋_GB2312" w:cs="仿宋_GB2312"/>
          <w:color w:val="auto"/>
          <w:lang w:eastAsia="zh-Hans"/>
        </w:rPr>
        <w:t>服务体系不断完善</w:t>
      </w:r>
      <w:r>
        <w:rPr>
          <w:rFonts w:hint="eastAsia" w:ascii="仿宋_GB2312" w:hAnsi="仿宋_GB2312" w:cs="仿宋_GB2312"/>
          <w:color w:val="auto"/>
        </w:rPr>
        <w:t>，集聚</w:t>
      </w:r>
      <w:r>
        <w:rPr>
          <w:rFonts w:hint="eastAsia" w:ascii="仿宋_GB2312" w:hAnsi="仿宋_GB2312" w:cs="仿宋_GB2312"/>
          <w:color w:val="auto"/>
          <w:lang w:eastAsia="zh-Hans"/>
        </w:rPr>
        <w:t>银行支行21家</w:t>
      </w:r>
      <w:r>
        <w:rPr>
          <w:rFonts w:hint="eastAsia" w:ascii="仿宋_GB2312" w:hAnsi="仿宋_GB2312" w:cs="仿宋_GB2312"/>
          <w:color w:val="auto"/>
        </w:rPr>
        <w:t>、</w:t>
      </w:r>
      <w:r>
        <w:rPr>
          <w:rFonts w:hint="eastAsia" w:ascii="仿宋_GB2312" w:hAnsi="仿宋_GB2312" w:cs="仿宋_GB2312"/>
          <w:color w:val="auto"/>
          <w:lang w:eastAsia="zh-Hans"/>
        </w:rPr>
        <w:t>保险机构10家、证券公司7家，探索出</w:t>
      </w:r>
      <w:r>
        <w:rPr>
          <w:rFonts w:hint="eastAsia" w:ascii="仿宋_GB2312" w:hAnsi="仿宋_GB2312" w:cs="仿宋_GB2312"/>
          <w:color w:val="auto"/>
        </w:rPr>
        <w:t>政银担、科保贷、税保贷、助保贷等创新型金融产品，设立产业引导基金、创业投资基金和其他政策性扶持基金16支，初步打造了“车谷资本岛”和“南太子湖私募工场”两大基金聚集平台。</w:t>
      </w:r>
    </w:p>
    <w:p>
      <w:pPr>
        <w:autoSpaceDE w:val="0"/>
        <w:autoSpaceDN w:val="0"/>
        <w:adjustRightInd w:val="0"/>
        <w:snapToGrid w:val="0"/>
        <w:spacing w:line="360" w:lineRule="auto"/>
        <w:ind w:firstLine="643"/>
        <w:outlineLvl w:val="2"/>
        <w:rPr>
          <w:rFonts w:ascii="楷体_GB2312" w:hAnsi="楷体" w:eastAsia="楷体_GB2312" w:cs="Times New Roman"/>
          <w:b/>
          <w:bCs/>
          <w:color w:val="auto"/>
          <w:szCs w:val="32"/>
        </w:rPr>
      </w:pPr>
      <w:r>
        <w:rPr>
          <w:rFonts w:hint="eastAsia" w:ascii="楷体_GB2312" w:hAnsi="楷体" w:eastAsia="楷体_GB2312" w:cs="Times New Roman"/>
          <w:b/>
          <w:bCs/>
          <w:color w:val="auto"/>
          <w:szCs w:val="32"/>
        </w:rPr>
        <w:t>6</w:t>
      </w:r>
      <w:r>
        <w:rPr>
          <w:rFonts w:ascii="楷体_GB2312" w:hAnsi="楷体" w:eastAsia="楷体_GB2312" w:cs="Times New Roman"/>
          <w:b/>
          <w:bCs/>
          <w:color w:val="auto"/>
          <w:szCs w:val="32"/>
        </w:rPr>
        <w:t xml:space="preserve">. </w:t>
      </w:r>
      <w:r>
        <w:rPr>
          <w:rFonts w:hint="eastAsia" w:ascii="楷体_GB2312" w:hAnsi="楷体" w:eastAsia="楷体_GB2312" w:cs="Times New Roman"/>
          <w:b/>
          <w:bCs/>
          <w:color w:val="auto"/>
          <w:szCs w:val="32"/>
        </w:rPr>
        <w:t>创新环境日益完善，科技惠及民生作用逐步加大</w:t>
      </w:r>
    </w:p>
    <w:p>
      <w:pPr>
        <w:adjustRightInd w:val="0"/>
        <w:snapToGrid w:val="0"/>
        <w:spacing w:line="360" w:lineRule="auto"/>
        <w:ind w:firstLine="616"/>
        <w:rPr>
          <w:rFonts w:ascii="仿宋_GB2312" w:hAnsi="黑体" w:cs="Times New Roman"/>
          <w:color w:val="auto"/>
          <w:spacing w:val="-6"/>
          <w:kern w:val="0"/>
          <w:szCs w:val="32"/>
        </w:rPr>
      </w:pPr>
      <w:r>
        <w:rPr>
          <w:rFonts w:hint="eastAsia" w:ascii="仿宋_GB2312" w:hAnsi="黑体" w:cs="Times New Roman"/>
          <w:color w:val="auto"/>
          <w:spacing w:val="-6"/>
          <w:kern w:val="0"/>
          <w:szCs w:val="32"/>
        </w:rPr>
        <w:t>“十三五”期间，出台和实施《武汉经济技术开发区（汉南区）促进创新创业创造办法及实施细则》，围绕创新平台、瞪羚企业、人才引进培养、知识产权等方面，制订和完善系列专项政策（办法）。举办了湖北省暨武汉市科普讲解大赛决赛、“创客中国”工业互联网创新创业大赛，以及政策宣讲、系列讲座、投融资对接、创业沙龙等各类线上线下创新创业活动。科普宣传力度逐步加大，建立覆盖街道、产业园区、企业的基层科协组织。运用5G、北斗导航、物联网等新一代信息技术，推动城市大脑、智慧城市建设及农业科技发展，科技惠及民生作用进一步凸显。</w:t>
      </w:r>
    </w:p>
    <w:p>
      <w:pPr>
        <w:adjustRightInd w:val="0"/>
        <w:snapToGrid w:val="0"/>
        <w:spacing w:line="360" w:lineRule="auto"/>
        <w:ind w:firstLine="640"/>
        <w:rPr>
          <w:rFonts w:ascii="仿宋_GB2312" w:hAnsi="黑体" w:cs="Times New Roman"/>
          <w:color w:val="auto"/>
          <w:szCs w:val="32"/>
        </w:rPr>
      </w:pPr>
      <w:r>
        <w:rPr>
          <w:rFonts w:hint="eastAsia" w:ascii="仿宋_GB2312" w:hAnsi="黑体" w:cs="Times New Roman"/>
          <w:color w:val="auto"/>
          <w:kern w:val="0"/>
          <w:szCs w:val="32"/>
        </w:rPr>
        <w:t>虽然武汉经开区科技创新积累了一定基础，但是，与</w:t>
      </w:r>
      <w:r>
        <w:rPr>
          <w:rFonts w:hint="eastAsia" w:ascii="仿宋_GB2312" w:hAnsi="黑体" w:cs="Times New Roman"/>
          <w:color w:val="auto"/>
          <w:kern w:val="0"/>
          <w:szCs w:val="32"/>
          <w:lang w:eastAsia="zh-Hans"/>
        </w:rPr>
        <w:t>国家级经开区地位</w:t>
      </w:r>
      <w:r>
        <w:rPr>
          <w:rFonts w:hint="eastAsia" w:ascii="仿宋_GB2312" w:hAnsi="黑体" w:cs="Times New Roman"/>
          <w:color w:val="auto"/>
          <w:kern w:val="0"/>
          <w:szCs w:val="32"/>
        </w:rPr>
        <w:t>、国家省市要求、兄弟经开</w:t>
      </w:r>
      <w:r>
        <w:rPr>
          <w:rFonts w:hint="eastAsia" w:ascii="仿宋_GB2312" w:hAnsi="黑体" w:cs="Times New Roman"/>
          <w:color w:val="auto"/>
          <w:kern w:val="0"/>
          <w:szCs w:val="32"/>
          <w:lang w:eastAsia="zh-Hans"/>
        </w:rPr>
        <w:t>区</w:t>
      </w:r>
      <w:r>
        <w:rPr>
          <w:rFonts w:hint="eastAsia" w:ascii="仿宋_GB2312" w:hAnsi="黑体" w:cs="Times New Roman"/>
          <w:color w:val="auto"/>
          <w:kern w:val="0"/>
          <w:szCs w:val="32"/>
        </w:rPr>
        <w:t>创新竞争相比，还存</w:t>
      </w:r>
      <w:r>
        <w:rPr>
          <w:rFonts w:hint="eastAsia" w:ascii="仿宋_GB2312" w:hAnsi="黑体" w:cs="Times New Roman"/>
          <w:color w:val="auto"/>
          <w:kern w:val="0"/>
          <w:szCs w:val="32"/>
          <w:lang w:eastAsia="zh-Hans"/>
        </w:rPr>
        <w:t>在一些问题，具体表现为：一是科技对产业支撑</w:t>
      </w:r>
      <w:r>
        <w:rPr>
          <w:rFonts w:hint="eastAsia" w:ascii="仿宋_GB2312" w:hAnsi="黑体" w:cs="Times New Roman"/>
          <w:color w:val="auto"/>
          <w:kern w:val="0"/>
          <w:szCs w:val="32"/>
        </w:rPr>
        <w:t>和引领作用有待加强</w:t>
      </w:r>
      <w:r>
        <w:rPr>
          <w:rFonts w:hint="eastAsia" w:ascii="仿宋_GB2312" w:hAnsi="黑体" w:cs="Times New Roman"/>
          <w:color w:val="auto"/>
          <w:kern w:val="0"/>
          <w:szCs w:val="32"/>
          <w:lang w:eastAsia="zh-Hans"/>
        </w:rPr>
        <w:t>，汽车产业转型步伐</w:t>
      </w:r>
      <w:r>
        <w:rPr>
          <w:rFonts w:hint="eastAsia" w:ascii="仿宋_GB2312" w:hAnsi="黑体" w:cs="Times New Roman"/>
          <w:color w:val="auto"/>
          <w:kern w:val="0"/>
          <w:szCs w:val="32"/>
        </w:rPr>
        <w:t>还需进一步加快</w:t>
      </w:r>
      <w:r>
        <w:rPr>
          <w:rFonts w:hint="eastAsia" w:ascii="仿宋_GB2312" w:hAnsi="黑体" w:cs="Times New Roman"/>
          <w:color w:val="auto"/>
          <w:kern w:val="0"/>
          <w:szCs w:val="32"/>
          <w:lang w:eastAsia="zh-Hans"/>
        </w:rPr>
        <w:t>，新兴产业培育力度不够，</w:t>
      </w:r>
      <w:r>
        <w:rPr>
          <w:rFonts w:hint="eastAsia" w:ascii="仿宋_GB2312" w:hAnsi="黑体" w:cs="Times New Roman"/>
          <w:color w:val="auto"/>
          <w:kern w:val="0"/>
          <w:szCs w:val="32"/>
        </w:rPr>
        <w:t>对</w:t>
      </w:r>
      <w:r>
        <w:rPr>
          <w:rFonts w:hint="eastAsia" w:ascii="仿宋_GB2312" w:hAnsi="黑体" w:cs="Times New Roman"/>
          <w:color w:val="auto"/>
          <w:kern w:val="0"/>
          <w:szCs w:val="32"/>
          <w:lang w:eastAsia="zh-Hans"/>
        </w:rPr>
        <w:t>全区</w:t>
      </w:r>
      <w:r>
        <w:rPr>
          <w:rFonts w:hint="eastAsia" w:ascii="仿宋_GB2312" w:hAnsi="黑体" w:cs="Times New Roman"/>
          <w:color w:val="auto"/>
          <w:kern w:val="0"/>
          <w:szCs w:val="32"/>
        </w:rPr>
        <w:t>经济发展的贡献较低</w:t>
      </w:r>
      <w:r>
        <w:rPr>
          <w:rFonts w:hint="eastAsia" w:ascii="仿宋_GB2312" w:hAnsi="黑体" w:cs="Times New Roman"/>
          <w:color w:val="auto"/>
          <w:kern w:val="0"/>
          <w:szCs w:val="32"/>
          <w:lang w:eastAsia="zh-Hans"/>
        </w:rPr>
        <w:t>。二是</w:t>
      </w:r>
      <w:r>
        <w:rPr>
          <w:rFonts w:hint="eastAsia" w:ascii="仿宋_GB2312" w:hAnsi="黑体" w:cs="Times New Roman"/>
          <w:color w:val="auto"/>
          <w:kern w:val="0"/>
          <w:szCs w:val="32"/>
        </w:rPr>
        <w:t>创业孵化</w:t>
      </w:r>
      <w:r>
        <w:rPr>
          <w:rFonts w:hint="eastAsia" w:ascii="仿宋_GB2312" w:hAnsi="黑体" w:cs="Times New Roman"/>
          <w:color w:val="auto"/>
          <w:kern w:val="0"/>
          <w:szCs w:val="32"/>
          <w:lang w:eastAsia="zh-Hans"/>
        </w:rPr>
        <w:t>载体空间</w:t>
      </w:r>
      <w:r>
        <w:rPr>
          <w:rFonts w:hint="eastAsia" w:ascii="仿宋_GB2312" w:hAnsi="黑体" w:cs="Times New Roman"/>
          <w:color w:val="auto"/>
          <w:kern w:val="0"/>
          <w:szCs w:val="32"/>
        </w:rPr>
        <w:t>不多</w:t>
      </w:r>
      <w:r>
        <w:rPr>
          <w:rFonts w:hint="eastAsia" w:ascii="仿宋_GB2312" w:hAnsi="黑体" w:cs="Times New Roman"/>
          <w:color w:val="auto"/>
          <w:kern w:val="0"/>
          <w:szCs w:val="32"/>
          <w:lang w:eastAsia="zh-Hans"/>
        </w:rPr>
        <w:t>，不足以支撑“铺天盖地”中小企业发展格局的形成。三是创新平台</w:t>
      </w:r>
      <w:r>
        <w:rPr>
          <w:rFonts w:hint="eastAsia" w:ascii="仿宋_GB2312" w:hAnsi="黑体" w:cs="Times New Roman"/>
          <w:color w:val="auto"/>
          <w:kern w:val="0"/>
          <w:szCs w:val="32"/>
        </w:rPr>
        <w:t>建设还需加强</w:t>
      </w:r>
      <w:r>
        <w:rPr>
          <w:rFonts w:hint="eastAsia" w:ascii="仿宋_GB2312" w:hAnsi="黑体" w:cs="Times New Roman"/>
          <w:color w:val="auto"/>
          <w:kern w:val="0"/>
          <w:szCs w:val="32"/>
          <w:lang w:eastAsia="zh-Hans"/>
        </w:rPr>
        <w:t>，建立研发机构或研发部门的企业不多，缺少解决行业关键共性技术问题的</w:t>
      </w:r>
      <w:r>
        <w:rPr>
          <w:rFonts w:hint="eastAsia" w:ascii="仿宋_GB2312" w:hAnsi="黑体" w:cs="Times New Roman"/>
          <w:color w:val="auto"/>
          <w:kern w:val="0"/>
          <w:szCs w:val="32"/>
        </w:rPr>
        <w:t>高能级</w:t>
      </w:r>
      <w:r>
        <w:rPr>
          <w:rFonts w:hint="eastAsia" w:ascii="仿宋_GB2312" w:hAnsi="黑体" w:cs="Times New Roman"/>
          <w:color w:val="auto"/>
          <w:kern w:val="0"/>
          <w:szCs w:val="32"/>
          <w:lang w:eastAsia="zh-Hans"/>
        </w:rPr>
        <w:t>创新平台，研发测试、技术交易、成果转化等公共服务平台和科技服务机构比较欠缺。四是创新型企业</w:t>
      </w:r>
      <w:r>
        <w:rPr>
          <w:rFonts w:hint="eastAsia" w:ascii="仿宋_GB2312" w:hAnsi="黑体" w:cs="Times New Roman"/>
          <w:color w:val="auto"/>
          <w:kern w:val="0"/>
          <w:szCs w:val="32"/>
        </w:rPr>
        <w:t>群体不够壮大</w:t>
      </w:r>
      <w:r>
        <w:rPr>
          <w:rFonts w:hint="eastAsia" w:ascii="仿宋_GB2312" w:hAnsi="黑体" w:cs="Times New Roman"/>
          <w:color w:val="auto"/>
          <w:kern w:val="0"/>
          <w:szCs w:val="32"/>
          <w:lang w:eastAsia="zh-Hans"/>
        </w:rPr>
        <w:t>，生产制造型大企业占主导地位，高新技术企业数量偏少，</w:t>
      </w:r>
      <w:r>
        <w:rPr>
          <w:rFonts w:hint="eastAsia" w:ascii="仿宋_GB2312" w:hAnsi="黑体" w:cs="Times New Roman"/>
          <w:color w:val="auto"/>
          <w:kern w:val="0"/>
          <w:szCs w:val="32"/>
        </w:rPr>
        <w:t>瞪羚、独角兽等</w:t>
      </w:r>
      <w:r>
        <w:rPr>
          <w:rFonts w:hint="eastAsia" w:ascii="仿宋_GB2312" w:hAnsi="黑体" w:cs="Times New Roman"/>
          <w:color w:val="auto"/>
          <w:kern w:val="0"/>
          <w:szCs w:val="32"/>
          <w:lang w:eastAsia="zh-Hans"/>
        </w:rPr>
        <w:t>高成长企业培育</w:t>
      </w:r>
      <w:r>
        <w:rPr>
          <w:rFonts w:hint="eastAsia" w:ascii="仿宋_GB2312" w:hAnsi="黑体" w:cs="Times New Roman"/>
          <w:color w:val="auto"/>
          <w:kern w:val="0"/>
          <w:szCs w:val="32"/>
        </w:rPr>
        <w:t>力度</w:t>
      </w:r>
      <w:r>
        <w:rPr>
          <w:rFonts w:hint="eastAsia" w:ascii="仿宋_GB2312" w:hAnsi="黑体" w:cs="Times New Roman"/>
          <w:color w:val="auto"/>
          <w:kern w:val="0"/>
          <w:szCs w:val="32"/>
          <w:lang w:eastAsia="zh-Hans"/>
        </w:rPr>
        <w:t>需进一步加大。五是创新要素</w:t>
      </w:r>
      <w:r>
        <w:rPr>
          <w:rFonts w:hint="eastAsia" w:ascii="仿宋_GB2312" w:hAnsi="黑体" w:cs="Times New Roman"/>
          <w:color w:val="auto"/>
          <w:kern w:val="0"/>
          <w:szCs w:val="32"/>
        </w:rPr>
        <w:t>有待进一步集聚</w:t>
      </w:r>
      <w:r>
        <w:rPr>
          <w:rFonts w:hint="eastAsia" w:ascii="仿宋_GB2312" w:hAnsi="黑体" w:cs="Times New Roman"/>
          <w:color w:val="auto"/>
          <w:kern w:val="0"/>
          <w:szCs w:val="32"/>
          <w:lang w:eastAsia="zh-Hans"/>
        </w:rPr>
        <w:t>，</w:t>
      </w:r>
      <w:r>
        <w:rPr>
          <w:rFonts w:hint="eastAsia" w:ascii="仿宋_GB2312" w:hAnsi="黑体" w:cs="Times New Roman"/>
          <w:color w:val="auto"/>
          <w:spacing w:val="-6"/>
          <w:kern w:val="0"/>
          <w:szCs w:val="32"/>
          <w:lang w:eastAsia="zh-Hans"/>
        </w:rPr>
        <w:t>大工业制造经济形态下产业工人居多，创新人才缺乏；科技金融机构数量少，现有基金以政府主导的产业基金为主，被投企业主要集中在成熟期和招商引资重大项目，缺少市场化的天使投资、风险投资机构</w:t>
      </w:r>
      <w:r>
        <w:rPr>
          <w:rFonts w:hint="eastAsia" w:ascii="仿宋_GB2312" w:hAnsi="黑体" w:cs="Times New Roman"/>
          <w:color w:val="auto"/>
          <w:kern w:val="0"/>
          <w:szCs w:val="32"/>
        </w:rPr>
        <w:t>。</w:t>
      </w:r>
    </w:p>
    <w:p>
      <w:pPr>
        <w:widowControl/>
        <w:adjustRightInd w:val="0"/>
        <w:snapToGrid w:val="0"/>
        <w:spacing w:line="360" w:lineRule="auto"/>
        <w:ind w:firstLine="0" w:firstLineChars="0"/>
        <w:jc w:val="left"/>
        <w:rPr>
          <w:rFonts w:ascii="华文中宋" w:hAnsi="华文中宋" w:eastAsia="华文中宋" w:cs="Times New Roman"/>
          <w:b/>
          <w:color w:val="auto"/>
          <w:szCs w:val="32"/>
        </w:rPr>
      </w:pPr>
      <w:bookmarkStart w:id="47" w:name="_Toc69218874"/>
      <w:bookmarkStart w:id="48" w:name="_Toc1573"/>
      <w:bookmarkStart w:id="49" w:name="_Toc29656"/>
      <w:bookmarkStart w:id="50" w:name="_Toc5183"/>
      <w:bookmarkStart w:id="51" w:name="_Toc17845"/>
      <w:bookmarkStart w:id="52" w:name="_Toc69218742"/>
      <w:bookmarkStart w:id="53" w:name="_Toc23266"/>
      <w:bookmarkStart w:id="54" w:name="_Toc12866"/>
      <w:bookmarkStart w:id="55" w:name="_Toc18021"/>
      <w:bookmarkStart w:id="56" w:name="_Toc13964"/>
      <w:bookmarkStart w:id="57" w:name="_Toc14424"/>
      <w:bookmarkStart w:id="58" w:name="_Toc54773012"/>
      <w:r>
        <w:rPr>
          <w:rFonts w:ascii="华文中宋" w:hAnsi="华文中宋" w:eastAsia="华文中宋" w:cs="Times New Roman"/>
          <w:b/>
          <w:color w:val="auto"/>
          <w:szCs w:val="32"/>
        </w:rPr>
        <w:br w:type="page"/>
      </w:r>
    </w:p>
    <w:p>
      <w:pPr>
        <w:adjustRightInd w:val="0"/>
        <w:snapToGrid w:val="0"/>
        <w:spacing w:line="360" w:lineRule="auto"/>
        <w:ind w:firstLine="321" w:firstLineChars="100"/>
        <w:outlineLvl w:val="1"/>
        <w:rPr>
          <w:rFonts w:ascii="华文中宋" w:hAnsi="华文中宋" w:eastAsia="华文中宋" w:cs="Times New Roman"/>
          <w:b/>
          <w:color w:val="auto"/>
          <w:szCs w:val="32"/>
        </w:rPr>
      </w:pPr>
      <w:bookmarkStart w:id="59" w:name="_Toc28630"/>
      <w:r>
        <w:rPr>
          <w:rFonts w:hint="eastAsia" w:ascii="华文中宋" w:hAnsi="华文中宋" w:eastAsia="华文中宋" w:cs="Times New Roman"/>
          <w:b/>
          <w:color w:val="auto"/>
          <w:szCs w:val="32"/>
        </w:rPr>
        <w:t>（二）</w:t>
      </w:r>
      <w:bookmarkEnd w:id="47"/>
      <w:bookmarkEnd w:id="48"/>
      <w:bookmarkEnd w:id="49"/>
      <w:bookmarkEnd w:id="50"/>
      <w:bookmarkEnd w:id="51"/>
      <w:bookmarkEnd w:id="52"/>
      <w:bookmarkEnd w:id="53"/>
      <w:bookmarkEnd w:id="54"/>
      <w:r>
        <w:rPr>
          <w:rFonts w:hint="eastAsia" w:ascii="华文中宋" w:hAnsi="华文中宋" w:eastAsia="华文中宋" w:cs="Times New Roman"/>
          <w:b/>
          <w:color w:val="auto"/>
          <w:szCs w:val="32"/>
        </w:rPr>
        <w:t>“十四五”科技创新发展形势</w:t>
      </w:r>
      <w:bookmarkEnd w:id="55"/>
      <w:bookmarkEnd w:id="56"/>
      <w:bookmarkEnd w:id="57"/>
      <w:bookmarkEnd w:id="59"/>
    </w:p>
    <w:p>
      <w:pPr>
        <w:autoSpaceDE w:val="0"/>
        <w:autoSpaceDN w:val="0"/>
        <w:adjustRightInd w:val="0"/>
        <w:snapToGrid w:val="0"/>
        <w:spacing w:line="360" w:lineRule="auto"/>
        <w:ind w:firstLine="643"/>
        <w:outlineLvl w:val="2"/>
        <w:rPr>
          <w:rFonts w:ascii="楷体_GB2312" w:hAnsi="楷体" w:eastAsia="楷体_GB2312" w:cs="Times New Roman"/>
          <w:b/>
          <w:bCs/>
          <w:color w:val="auto"/>
          <w:szCs w:val="32"/>
        </w:rPr>
      </w:pPr>
      <w:bookmarkStart w:id="60" w:name="_Toc69218636"/>
      <w:bookmarkStart w:id="61" w:name="_Toc69218743"/>
      <w:r>
        <w:rPr>
          <w:rFonts w:hint="eastAsia" w:ascii="楷体_GB2312" w:hAnsi="楷体" w:eastAsia="楷体_GB2312" w:cs="Times New Roman"/>
          <w:b/>
          <w:bCs/>
          <w:color w:val="auto"/>
          <w:szCs w:val="32"/>
        </w:rPr>
        <w:t>1</w:t>
      </w:r>
      <w:r>
        <w:rPr>
          <w:rFonts w:ascii="楷体_GB2312" w:hAnsi="楷体" w:eastAsia="楷体_GB2312" w:cs="Times New Roman"/>
          <w:b/>
          <w:bCs/>
          <w:color w:val="auto"/>
          <w:szCs w:val="32"/>
        </w:rPr>
        <w:t xml:space="preserve">. </w:t>
      </w:r>
      <w:r>
        <w:rPr>
          <w:rFonts w:hint="eastAsia" w:ascii="楷体_GB2312" w:hAnsi="楷体" w:eastAsia="楷体_GB2312" w:cs="Times New Roman"/>
          <w:b/>
          <w:bCs/>
          <w:color w:val="auto"/>
          <w:szCs w:val="32"/>
        </w:rPr>
        <w:t>新一轮科技革命和产业变革加速演进，科技创新</w:t>
      </w:r>
      <w:r>
        <w:rPr>
          <w:rFonts w:hint="eastAsia" w:ascii="楷体_GB2312" w:hAnsi="楷体" w:eastAsia="楷体_GB2312" w:cs="Times New Roman"/>
          <w:b/>
          <w:bCs/>
          <w:color w:val="auto"/>
          <w:szCs w:val="32"/>
          <w:lang w:eastAsia="zh-Hans"/>
        </w:rPr>
        <w:t>呈现新规律趋势</w:t>
      </w:r>
      <w:bookmarkEnd w:id="60"/>
      <w:bookmarkEnd w:id="61"/>
    </w:p>
    <w:p>
      <w:pPr>
        <w:autoSpaceDE w:val="0"/>
        <w:autoSpaceDN w:val="0"/>
        <w:adjustRightInd w:val="0"/>
        <w:snapToGrid w:val="0"/>
        <w:spacing w:line="360" w:lineRule="auto"/>
        <w:ind w:firstLine="640"/>
        <w:rPr>
          <w:rFonts w:ascii="仿宋_GB2312" w:hAnsi="黑体" w:cs="Times New Roman"/>
          <w:b/>
          <w:bCs/>
          <w:color w:val="auto"/>
          <w:szCs w:val="32"/>
        </w:rPr>
      </w:pPr>
      <w:r>
        <w:rPr>
          <w:rFonts w:hint="eastAsia" w:ascii="仿宋_GB2312" w:hAnsi="黑体" w:cs="Times New Roman"/>
          <w:color w:val="auto"/>
          <w:szCs w:val="32"/>
        </w:rPr>
        <w:t>从科技创新领域看，随着新一轮科技革命和产业变革蓬勃兴起，智能、信息、能源、材料、生命科学等领域颠覆性技术创新层出不穷，带来新技术、</w:t>
      </w:r>
      <w:r>
        <w:rPr>
          <w:rFonts w:ascii="仿宋_GB2312" w:hAnsi="黑体" w:cs="Times New Roman"/>
          <w:color w:val="auto"/>
          <w:szCs w:val="32"/>
        </w:rPr>
        <w:t>新产业</w:t>
      </w:r>
      <w:r>
        <w:rPr>
          <w:rFonts w:hint="eastAsia" w:ascii="仿宋_GB2312" w:hAnsi="黑体" w:cs="Times New Roman"/>
          <w:color w:val="auto"/>
          <w:szCs w:val="32"/>
        </w:rPr>
        <w:t>、</w:t>
      </w:r>
      <w:r>
        <w:rPr>
          <w:rFonts w:ascii="仿宋_GB2312" w:hAnsi="黑体" w:cs="Times New Roman"/>
          <w:color w:val="auto"/>
          <w:szCs w:val="32"/>
        </w:rPr>
        <w:t>新赛道</w:t>
      </w:r>
      <w:r>
        <w:rPr>
          <w:rFonts w:hint="eastAsia" w:ascii="仿宋_GB2312" w:hAnsi="黑体" w:cs="Times New Roman"/>
          <w:color w:val="auto"/>
          <w:szCs w:val="32"/>
        </w:rPr>
        <w:t>群体性爆发。从科技</w:t>
      </w:r>
      <w:r>
        <w:rPr>
          <w:rFonts w:hint="eastAsia"/>
          <w:color w:val="auto"/>
        </w:rPr>
        <w:t>创新范式看，逐步向多学科、多技术、多领域交叉融合方向发展，创新主体多元化、投入多样化趋势更加明显，体制机制全面创新的新型研发机构将成为新力量。从科技创新要素看，</w:t>
      </w:r>
      <w:r>
        <w:rPr>
          <w:rFonts w:hint="eastAsia" w:ascii="仿宋_GB2312" w:hAnsi="黑体" w:cs="Times New Roman"/>
          <w:color w:val="auto"/>
          <w:szCs w:val="32"/>
        </w:rPr>
        <w:t>人才、数据、技术、资本成为重要的创新资源，创新创业生态良好的区域更能有效吸引创新资源集聚。从科技</w:t>
      </w:r>
      <w:r>
        <w:rPr>
          <w:rFonts w:hint="eastAsia"/>
          <w:color w:val="auto"/>
        </w:rPr>
        <w:t>创新空间形态看，呈现出以创新园区</w:t>
      </w:r>
      <w:r>
        <w:rPr>
          <w:rFonts w:ascii="仿宋_GB2312" w:hAnsi="仿宋_GB2312"/>
          <w:color w:val="auto"/>
        </w:rPr>
        <w:t>/</w:t>
      </w:r>
      <w:r>
        <w:rPr>
          <w:rFonts w:hint="eastAsia"/>
          <w:color w:val="auto"/>
        </w:rPr>
        <w:t>街区、科技城、科创大走廊等为代表的多种发展模式。</w:t>
      </w:r>
      <w:r>
        <w:rPr>
          <w:rFonts w:hint="eastAsia" w:ascii="仿宋_GB2312" w:hAnsi="黑体" w:cs="Times New Roman"/>
          <w:color w:val="auto"/>
          <w:szCs w:val="32"/>
        </w:rPr>
        <w:t>政府主管部门逐步由管理型组织向促进型组织转变，更加注重营造良好的创新发展环境，最大限度激发区域创新创业活力。</w:t>
      </w:r>
    </w:p>
    <w:p>
      <w:pPr>
        <w:autoSpaceDE w:val="0"/>
        <w:autoSpaceDN w:val="0"/>
        <w:adjustRightInd w:val="0"/>
        <w:snapToGrid w:val="0"/>
        <w:spacing w:line="360" w:lineRule="auto"/>
        <w:ind w:firstLine="643"/>
        <w:outlineLvl w:val="2"/>
        <w:rPr>
          <w:rFonts w:ascii="楷体_GB2312" w:hAnsi="楷体" w:eastAsia="楷体_GB2312" w:cs="Times New Roman"/>
          <w:b/>
          <w:bCs/>
          <w:color w:val="auto"/>
          <w:szCs w:val="32"/>
        </w:rPr>
      </w:pPr>
      <w:bookmarkStart w:id="62" w:name="_Toc69218744"/>
      <w:bookmarkStart w:id="63" w:name="_Toc69218637"/>
      <w:r>
        <w:rPr>
          <w:rFonts w:hint="eastAsia" w:ascii="楷体_GB2312" w:hAnsi="楷体" w:eastAsia="楷体_GB2312" w:cs="Times New Roman"/>
          <w:b/>
          <w:bCs/>
          <w:color w:val="auto"/>
          <w:szCs w:val="32"/>
        </w:rPr>
        <w:t>2</w:t>
      </w:r>
      <w:r>
        <w:rPr>
          <w:rFonts w:ascii="楷体_GB2312" w:hAnsi="楷体" w:eastAsia="楷体_GB2312" w:cs="Times New Roman"/>
          <w:b/>
          <w:bCs/>
          <w:color w:val="auto"/>
          <w:szCs w:val="32"/>
        </w:rPr>
        <w:t xml:space="preserve">. </w:t>
      </w:r>
      <w:r>
        <w:rPr>
          <w:rFonts w:hint="eastAsia" w:ascii="楷体_GB2312" w:hAnsi="楷体" w:eastAsia="楷体_GB2312" w:cs="Times New Roman"/>
          <w:b/>
          <w:bCs/>
          <w:color w:val="auto"/>
          <w:szCs w:val="32"/>
        </w:rPr>
        <w:t>我国经济转向高质量发展阶段，科技自立自强成为国家发展的战略支撑</w:t>
      </w:r>
      <w:bookmarkEnd w:id="62"/>
      <w:bookmarkEnd w:id="63"/>
    </w:p>
    <w:p>
      <w:pPr>
        <w:adjustRightInd w:val="0"/>
        <w:snapToGrid w:val="0"/>
        <w:spacing w:line="360" w:lineRule="auto"/>
        <w:ind w:firstLine="640"/>
        <w:rPr>
          <w:rFonts w:ascii="仿宋_GB2312" w:hAnsi="黑体" w:cs="Times New Roman"/>
          <w:color w:val="auto"/>
          <w:szCs w:val="32"/>
        </w:rPr>
      </w:pPr>
      <w:r>
        <w:rPr>
          <w:rFonts w:hint="eastAsia" w:ascii="仿宋_GB2312" w:hAnsi="黑体" w:cs="Times New Roman"/>
          <w:color w:val="auto"/>
          <w:szCs w:val="32"/>
        </w:rPr>
        <w:t>我国经济发展已由高速增长阶段转向高质量发展阶段，科技创新成为高质量发展的重要驱动力。党中央科学谋划科技创新工作、全面实施创新驱动发展战略，确立2035年我国跻身创新型国家前列的战略目标。习近平总书记考察武汉时强调，要深入实施创新驱动发展战略，把科技的命脉牢牢掌握在自己手中，在科技自立自强上取得更大进展，不断提升我国发展独立性、自主性、安全性，催生更多新技术新产业，开辟经济发展的新领域新赛道，形成国际竞争新优势。国家“十四五”发展规划将“坚持创新驱动发展 全面塑造发展新优势”作为首要任务专章部署，要求进一步强化国家战略科技力量、提升企业技术创新能力、激发人才创新活力、完善科技创新体制机制。</w:t>
      </w:r>
    </w:p>
    <w:p>
      <w:pPr>
        <w:autoSpaceDE w:val="0"/>
        <w:autoSpaceDN w:val="0"/>
        <w:adjustRightInd w:val="0"/>
        <w:snapToGrid w:val="0"/>
        <w:spacing w:line="360" w:lineRule="auto"/>
        <w:ind w:firstLine="643"/>
        <w:outlineLvl w:val="2"/>
        <w:rPr>
          <w:rFonts w:ascii="楷体_GB2312" w:hAnsi="楷体" w:eastAsia="楷体_GB2312" w:cs="Times New Roman"/>
          <w:b/>
          <w:bCs/>
          <w:color w:val="auto"/>
          <w:szCs w:val="32"/>
        </w:rPr>
      </w:pPr>
      <w:bookmarkStart w:id="64" w:name="_Toc69218745"/>
      <w:bookmarkStart w:id="65" w:name="_Toc69218638"/>
      <w:r>
        <w:rPr>
          <w:rFonts w:hint="eastAsia" w:ascii="楷体_GB2312" w:hAnsi="楷体" w:eastAsia="楷体_GB2312" w:cs="Times New Roman"/>
          <w:b/>
          <w:bCs/>
          <w:color w:val="auto"/>
          <w:szCs w:val="32"/>
        </w:rPr>
        <w:t>3</w:t>
      </w:r>
      <w:r>
        <w:rPr>
          <w:rFonts w:ascii="楷体_GB2312" w:hAnsi="楷体" w:eastAsia="楷体_GB2312" w:cs="Times New Roman"/>
          <w:b/>
          <w:bCs/>
          <w:color w:val="auto"/>
          <w:szCs w:val="32"/>
        </w:rPr>
        <w:t xml:space="preserve">. </w:t>
      </w:r>
      <w:r>
        <w:rPr>
          <w:rFonts w:hint="eastAsia" w:ascii="楷体_GB2312" w:hAnsi="楷体" w:eastAsia="楷体_GB2312" w:cs="Times New Roman"/>
          <w:b/>
          <w:bCs/>
          <w:color w:val="auto"/>
          <w:szCs w:val="32"/>
          <w:lang w:eastAsia="zh-Hans"/>
        </w:rPr>
        <w:t>省市加强创新战略部署，聚力建设有全国影响力的科技创新中心</w:t>
      </w:r>
      <w:bookmarkEnd w:id="64"/>
      <w:bookmarkEnd w:id="65"/>
    </w:p>
    <w:p>
      <w:pPr>
        <w:adjustRightInd w:val="0"/>
        <w:snapToGrid w:val="0"/>
        <w:spacing w:line="360" w:lineRule="auto"/>
        <w:ind w:firstLine="640"/>
        <w:rPr>
          <w:rFonts w:ascii="仿宋_GB2312" w:hAnsi="黑体" w:cs="Times New Roman"/>
          <w:color w:val="auto"/>
          <w:szCs w:val="32"/>
        </w:rPr>
      </w:pPr>
      <w:r>
        <w:rPr>
          <w:rFonts w:hint="eastAsia" w:ascii="仿宋_GB2312" w:hAnsi="黑体" w:cs="Times New Roman"/>
          <w:color w:val="auto"/>
          <w:szCs w:val="32"/>
        </w:rPr>
        <w:t>湖北省坚持把科技创新摆在事关发展全局的核心位置，勇担实现高水平科技自立自强的重大使命，充分发挥科教大省优势，打造全国科技创新高地，形成“支撑中部、辐射全国、融入世界”的创新发展增长极，加快建设全国构建新发展格局先行区。武汉市以打造具有全国影响力的科技创新中心为主线，着力建设产业创新、人才集聚、科技成果转化“三大高地”，以科技创新提升产业发展水平，在湖北建设全国构建新发展格局先行区中当先锋、打头阵，奋力打造创新涌动的新时代英雄城市。</w:t>
      </w:r>
    </w:p>
    <w:p>
      <w:pPr>
        <w:autoSpaceDE w:val="0"/>
        <w:autoSpaceDN w:val="0"/>
        <w:adjustRightInd w:val="0"/>
        <w:snapToGrid w:val="0"/>
        <w:spacing w:line="360" w:lineRule="auto"/>
        <w:ind w:firstLine="643"/>
        <w:outlineLvl w:val="2"/>
        <w:rPr>
          <w:rFonts w:ascii="楷体_GB2312" w:hAnsi="楷体" w:eastAsia="楷体_GB2312" w:cs="Times New Roman"/>
          <w:b/>
          <w:bCs/>
          <w:color w:val="auto"/>
          <w:szCs w:val="32"/>
        </w:rPr>
      </w:pPr>
      <w:bookmarkStart w:id="66" w:name="_Toc69218746"/>
      <w:bookmarkStart w:id="67" w:name="_Toc69218639"/>
      <w:r>
        <w:rPr>
          <w:rFonts w:hint="eastAsia" w:ascii="楷体_GB2312" w:hAnsi="楷体" w:eastAsia="楷体_GB2312" w:cs="Times New Roman"/>
          <w:b/>
          <w:bCs/>
          <w:color w:val="auto"/>
          <w:szCs w:val="32"/>
        </w:rPr>
        <w:t>4</w:t>
      </w:r>
      <w:r>
        <w:rPr>
          <w:rFonts w:ascii="楷体_GB2312" w:hAnsi="楷体" w:eastAsia="楷体_GB2312" w:cs="Times New Roman"/>
          <w:b/>
          <w:bCs/>
          <w:color w:val="auto"/>
          <w:szCs w:val="32"/>
        </w:rPr>
        <w:t xml:space="preserve">. </w:t>
      </w:r>
      <w:r>
        <w:rPr>
          <w:rFonts w:hint="eastAsia" w:ascii="楷体_GB2312" w:hAnsi="楷体" w:eastAsia="楷体_GB2312" w:cs="Times New Roman"/>
          <w:b/>
          <w:bCs/>
          <w:color w:val="auto"/>
          <w:szCs w:val="32"/>
        </w:rPr>
        <w:t>国家级经开区迈入创新提升新阶段，迫切需要找到新定位与新思路</w:t>
      </w:r>
      <w:bookmarkEnd w:id="66"/>
      <w:bookmarkEnd w:id="67"/>
    </w:p>
    <w:p>
      <w:pPr>
        <w:adjustRightInd w:val="0"/>
        <w:snapToGrid w:val="0"/>
        <w:spacing w:line="360" w:lineRule="auto"/>
        <w:ind w:firstLine="640"/>
        <w:rPr>
          <w:rFonts w:ascii="仿宋_GB2312" w:hAnsi="黑体" w:cs="Times New Roman"/>
          <w:color w:val="auto"/>
          <w:szCs w:val="32"/>
        </w:rPr>
      </w:pPr>
      <w:r>
        <w:rPr>
          <w:rFonts w:hint="eastAsia" w:ascii="仿宋_GB2312" w:hAnsi="黑体" w:cs="Times New Roman"/>
          <w:color w:val="auto"/>
          <w:szCs w:val="32"/>
        </w:rPr>
        <w:t>国务院出台《关于推进国家级经济技术开发区创新提升打造改革开放新高地的意见》，要求推动国家级经开区开放创新、科技创新、制度创新，提升对外合作水平、提升经济发展质量，打造改革开放新高地，标志着国家级经开区进入创新提升发展的新阶段。苏州工业园、广州经开区等先进经开区提前谋划、率先布局，通过引进创新资源、建设创新平台、发展新兴产业、培育创新型企业等，成功实现创新转型。国家高新区、自贸区、自创区、新区等功能区大量涌现，国家级经开区要进一步增强创新驱动力，努力提升技术创新能力和产业竞争力，重塑自身特色与发展优势。</w:t>
      </w:r>
    </w:p>
    <w:p>
      <w:pPr>
        <w:adjustRightInd w:val="0"/>
        <w:snapToGrid w:val="0"/>
        <w:spacing w:line="360" w:lineRule="auto"/>
        <w:ind w:firstLine="640"/>
        <w:rPr>
          <w:rFonts w:ascii="仿宋_GB2312" w:hAnsi="黑体" w:cs="Times New Roman"/>
          <w:color w:val="auto"/>
          <w:szCs w:val="32"/>
        </w:rPr>
      </w:pPr>
      <w:r>
        <w:rPr>
          <w:rFonts w:hint="eastAsia" w:ascii="仿宋_GB2312" w:hAnsi="黑体" w:cs="Times New Roman"/>
          <w:color w:val="auto"/>
          <w:szCs w:val="32"/>
        </w:rPr>
        <w:t>当前，武汉经开区正处在奋力“追、转、超”、开启“二次创业”新征程、打造“武汉之南·中国车谷”的关键阶段，要坚持创新核心地位，</w:t>
      </w:r>
      <w:r>
        <w:rPr>
          <w:color w:val="auto"/>
        </w:rPr>
        <w:t>明晰</w:t>
      </w:r>
      <w:r>
        <w:rPr>
          <w:rFonts w:hint="eastAsia"/>
          <w:color w:val="auto"/>
        </w:rPr>
        <w:t>科技</w:t>
      </w:r>
      <w:r>
        <w:rPr>
          <w:color w:val="auto"/>
        </w:rPr>
        <w:t>创新定位和方向，</w:t>
      </w:r>
      <w:r>
        <w:rPr>
          <w:rFonts w:hint="eastAsia" w:ascii="仿宋_GB2312" w:hAnsi="黑体" w:cs="Times New Roman"/>
          <w:color w:val="auto"/>
          <w:szCs w:val="32"/>
        </w:rPr>
        <w:t>重构区域科技创新体系，实现科技</w:t>
      </w:r>
      <w:r>
        <w:rPr>
          <w:rFonts w:hint="eastAsia" w:ascii="仿宋_GB2312" w:hAnsi="仿宋_GB2312" w:cs="仿宋_GB2312"/>
          <w:color w:val="auto"/>
          <w:szCs w:val="32"/>
        </w:rPr>
        <w:t>创新从自发零散向系统部署转变</w:t>
      </w:r>
      <w:r>
        <w:rPr>
          <w:rFonts w:hint="eastAsia" w:ascii="仿宋_GB2312" w:hAnsi="黑体" w:cs="Times New Roman"/>
          <w:color w:val="auto"/>
          <w:szCs w:val="32"/>
        </w:rPr>
        <w:t>，全力推进万亿级车谷产业创新大走廊建设，将车谷打造成为“科技创新的源泉、人才汇聚的高地”。</w:t>
      </w:r>
      <w:bookmarkEnd w:id="58"/>
    </w:p>
    <w:p>
      <w:pPr>
        <w:widowControl/>
        <w:adjustRightInd w:val="0"/>
        <w:snapToGrid w:val="0"/>
        <w:spacing w:line="360" w:lineRule="auto"/>
        <w:ind w:firstLine="0" w:firstLineChars="0"/>
        <w:jc w:val="left"/>
        <w:rPr>
          <w:rFonts w:ascii="黑体" w:hAnsi="黑体" w:eastAsia="黑体" w:cs="Times New Roman"/>
          <w:b/>
          <w:color w:val="auto"/>
          <w:szCs w:val="32"/>
        </w:rPr>
      </w:pPr>
      <w:bookmarkStart w:id="68" w:name="_Toc11974"/>
      <w:bookmarkStart w:id="69" w:name="_Toc17423"/>
      <w:bookmarkStart w:id="70" w:name="_Toc29664"/>
      <w:bookmarkStart w:id="71" w:name="_Toc28153"/>
      <w:bookmarkStart w:id="72" w:name="_Toc4568"/>
      <w:bookmarkStart w:id="73" w:name="_Toc2284"/>
      <w:bookmarkStart w:id="74" w:name="_Toc3346"/>
      <w:bookmarkStart w:id="75" w:name="_Toc21899"/>
      <w:bookmarkStart w:id="76" w:name="_Toc26429"/>
      <w:r>
        <w:rPr>
          <w:rFonts w:ascii="黑体" w:hAnsi="黑体" w:eastAsia="黑体" w:cs="Times New Roman"/>
          <w:b/>
          <w:color w:val="auto"/>
          <w:szCs w:val="32"/>
        </w:rPr>
        <w:br w:type="page"/>
      </w:r>
    </w:p>
    <w:p>
      <w:pPr>
        <w:autoSpaceDE w:val="0"/>
        <w:autoSpaceDN w:val="0"/>
        <w:adjustRightInd w:val="0"/>
        <w:snapToGrid w:val="0"/>
        <w:spacing w:line="360" w:lineRule="auto"/>
        <w:ind w:firstLine="643"/>
        <w:outlineLvl w:val="0"/>
        <w:rPr>
          <w:rFonts w:ascii="黑体" w:hAnsi="黑体" w:eastAsia="黑体" w:cs="Times New Roman"/>
          <w:b/>
          <w:color w:val="auto"/>
          <w:szCs w:val="32"/>
        </w:rPr>
      </w:pPr>
      <w:bookmarkStart w:id="77" w:name="_Toc16722"/>
      <w:r>
        <w:rPr>
          <w:rFonts w:hint="eastAsia" w:ascii="黑体" w:hAnsi="黑体" w:eastAsia="黑体" w:cs="Times New Roman"/>
          <w:b/>
          <w:color w:val="auto"/>
          <w:szCs w:val="32"/>
        </w:rPr>
        <w:t>二、总体思路</w:t>
      </w:r>
      <w:bookmarkEnd w:id="68"/>
      <w:bookmarkEnd w:id="69"/>
      <w:bookmarkEnd w:id="70"/>
      <w:bookmarkEnd w:id="71"/>
      <w:bookmarkEnd w:id="72"/>
      <w:bookmarkEnd w:id="73"/>
      <w:bookmarkEnd w:id="74"/>
      <w:bookmarkEnd w:id="75"/>
      <w:bookmarkEnd w:id="76"/>
      <w:r>
        <w:rPr>
          <w:rFonts w:hint="eastAsia" w:ascii="黑体" w:hAnsi="黑体" w:eastAsia="黑体" w:cs="Times New Roman"/>
          <w:b/>
          <w:color w:val="auto"/>
          <w:szCs w:val="32"/>
        </w:rPr>
        <w:t>与目标</w:t>
      </w:r>
      <w:bookmarkEnd w:id="77"/>
    </w:p>
    <w:p>
      <w:pPr>
        <w:autoSpaceDE w:val="0"/>
        <w:autoSpaceDN w:val="0"/>
        <w:adjustRightInd w:val="0"/>
        <w:snapToGrid w:val="0"/>
        <w:spacing w:line="360" w:lineRule="auto"/>
        <w:ind w:firstLine="641"/>
        <w:outlineLvl w:val="1"/>
        <w:rPr>
          <w:rFonts w:ascii="华文中宋" w:hAnsi="华文中宋" w:eastAsia="华文中宋"/>
          <w:b/>
          <w:color w:val="auto"/>
          <w:szCs w:val="32"/>
        </w:rPr>
      </w:pPr>
      <w:bookmarkStart w:id="78" w:name="_Toc3757"/>
      <w:bookmarkStart w:id="79" w:name="_Toc5121"/>
      <w:bookmarkStart w:id="80" w:name="_Toc21916"/>
      <w:bookmarkStart w:id="81" w:name="_Toc9366"/>
      <w:bookmarkStart w:id="82" w:name="_Toc13387"/>
      <w:bookmarkStart w:id="83" w:name="_Toc29700"/>
      <w:bookmarkStart w:id="84" w:name="_Toc10558"/>
      <w:bookmarkStart w:id="85" w:name="_Toc5233"/>
      <w:bookmarkStart w:id="86" w:name="_Toc949"/>
      <w:bookmarkStart w:id="87" w:name="_Toc13162"/>
      <w:r>
        <w:rPr>
          <w:rFonts w:hint="eastAsia" w:ascii="华文中宋" w:hAnsi="华文中宋" w:eastAsia="华文中宋"/>
          <w:b/>
          <w:color w:val="auto"/>
          <w:szCs w:val="32"/>
        </w:rPr>
        <w:t>（一）指导思想</w:t>
      </w:r>
      <w:bookmarkEnd w:id="78"/>
      <w:bookmarkEnd w:id="79"/>
      <w:bookmarkEnd w:id="80"/>
      <w:bookmarkEnd w:id="81"/>
      <w:bookmarkEnd w:id="82"/>
      <w:bookmarkEnd w:id="83"/>
      <w:bookmarkEnd w:id="84"/>
      <w:bookmarkEnd w:id="85"/>
      <w:bookmarkEnd w:id="86"/>
      <w:bookmarkEnd w:id="87"/>
    </w:p>
    <w:p>
      <w:pPr>
        <w:autoSpaceDE w:val="0"/>
        <w:autoSpaceDN w:val="0"/>
        <w:adjustRightInd w:val="0"/>
        <w:snapToGrid w:val="0"/>
        <w:spacing w:line="360" w:lineRule="auto"/>
        <w:ind w:firstLine="640"/>
        <w:rPr>
          <w:rFonts w:ascii="仿宋_GB2312" w:hAnsi="黑体" w:cs="Times New Roman"/>
          <w:color w:val="auto"/>
          <w:szCs w:val="32"/>
        </w:rPr>
      </w:pPr>
      <w:bookmarkStart w:id="88" w:name="OLE_LINK1"/>
      <w:r>
        <w:rPr>
          <w:rFonts w:hint="eastAsia" w:ascii="仿宋_GB2312" w:hAnsi="黑体" w:cs="Times New Roman"/>
          <w:color w:val="auto"/>
          <w:szCs w:val="32"/>
        </w:rPr>
        <w:t>以习近平新时代中国特色社会主义思想为指导，全面贯彻党的十九大和十九届历次全会精神，全面落实习近平总书记关于科技创新重要论述，坚持融入新发展阶段，贯彻新发展理念，服务构建新发展格局，</w:t>
      </w:r>
      <w:r>
        <w:rPr>
          <w:rFonts w:hint="eastAsia" w:ascii="仿宋_GB2312"/>
          <w:color w:val="auto"/>
          <w:szCs w:val="32"/>
        </w:rPr>
        <w:t>把创新摆在事关发展全局的核心位置，</w:t>
      </w:r>
      <w:r>
        <w:rPr>
          <w:rFonts w:hint="eastAsia" w:ascii="仿宋_GB2312" w:hAnsi="黑体" w:cs="Times New Roman"/>
          <w:color w:val="auto"/>
          <w:szCs w:val="32"/>
          <w:lang w:eastAsia="zh-Hans"/>
        </w:rPr>
        <w:t>以</w:t>
      </w:r>
      <w:r>
        <w:rPr>
          <w:rFonts w:hint="eastAsia" w:ascii="仿宋_GB2312" w:hAnsi="黑体" w:cs="Times New Roman"/>
          <w:color w:val="auto"/>
          <w:szCs w:val="32"/>
        </w:rPr>
        <w:t>科技创新引领</w:t>
      </w:r>
      <w:r>
        <w:rPr>
          <w:rFonts w:hint="eastAsia" w:ascii="仿宋_GB2312" w:hAnsi="黑体" w:cs="Times New Roman"/>
          <w:color w:val="auto"/>
          <w:szCs w:val="32"/>
          <w:lang w:eastAsia="zh-Hans"/>
        </w:rPr>
        <w:t>车谷产业创新大走廊</w:t>
      </w:r>
      <w:r>
        <w:rPr>
          <w:rFonts w:hint="eastAsia" w:ascii="仿宋_GB2312" w:hAnsi="黑体" w:cs="Times New Roman"/>
          <w:color w:val="auto"/>
          <w:szCs w:val="32"/>
        </w:rPr>
        <w:t>建设</w:t>
      </w:r>
      <w:r>
        <w:rPr>
          <w:rFonts w:hint="eastAsia" w:ascii="仿宋_GB2312" w:hAnsi="黑体" w:cs="Times New Roman"/>
          <w:color w:val="auto"/>
          <w:szCs w:val="32"/>
          <w:lang w:eastAsia="zh-Hans"/>
        </w:rPr>
        <w:t>，着力</w:t>
      </w:r>
      <w:r>
        <w:rPr>
          <w:rFonts w:hint="eastAsia" w:ascii="仿宋_GB2312" w:hAnsi="黑体" w:cs="Times New Roman"/>
          <w:color w:val="auto"/>
          <w:szCs w:val="32"/>
        </w:rPr>
        <w:t>打造</w:t>
      </w:r>
      <w:r>
        <w:rPr>
          <w:rFonts w:hint="eastAsia" w:ascii="仿宋_GB2312" w:hAnsi="黑体" w:cs="Times New Roman"/>
          <w:color w:val="auto"/>
          <w:szCs w:val="32"/>
          <w:lang w:eastAsia="zh-Hans"/>
        </w:rPr>
        <w:t>产业</w:t>
      </w:r>
      <w:r>
        <w:rPr>
          <w:rFonts w:hint="eastAsia" w:ascii="仿宋_GB2312" w:hAnsi="黑体" w:cs="Times New Roman"/>
          <w:color w:val="auto"/>
          <w:szCs w:val="32"/>
        </w:rPr>
        <w:t>技术创新、科技成果转化、大中小企业融通创新“三个示范区”，加速集聚创新主体和要素，营造更优科技创新生态环境，</w:t>
      </w:r>
      <w:r>
        <w:rPr>
          <w:rFonts w:hint="eastAsia" w:ascii="仿宋_GB2312" w:hAnsi="黑体" w:cs="Times New Roman"/>
          <w:color w:val="auto"/>
          <w:szCs w:val="32"/>
          <w:lang w:eastAsia="zh-Hans"/>
        </w:rPr>
        <w:t>为打造“中国车谷”提供强大动力，为武汉建设具有全国影响力的科技创新中心贡献车谷</w:t>
      </w:r>
      <w:r>
        <w:rPr>
          <w:rFonts w:hint="eastAsia" w:ascii="仿宋_GB2312" w:hAnsi="黑体" w:cs="Times New Roman"/>
          <w:color w:val="auto"/>
          <w:szCs w:val="32"/>
        </w:rPr>
        <w:t>创新</w:t>
      </w:r>
      <w:r>
        <w:rPr>
          <w:rFonts w:hint="eastAsia" w:ascii="仿宋_GB2312" w:hAnsi="黑体" w:cs="Times New Roman"/>
          <w:color w:val="auto"/>
          <w:szCs w:val="32"/>
          <w:lang w:eastAsia="zh-Hans"/>
        </w:rPr>
        <w:t>力量。</w:t>
      </w:r>
      <w:bookmarkEnd w:id="88"/>
    </w:p>
    <w:p>
      <w:pPr>
        <w:autoSpaceDE w:val="0"/>
        <w:autoSpaceDN w:val="0"/>
        <w:adjustRightInd w:val="0"/>
        <w:snapToGrid w:val="0"/>
        <w:spacing w:line="360" w:lineRule="auto"/>
        <w:ind w:firstLine="641"/>
        <w:outlineLvl w:val="1"/>
        <w:rPr>
          <w:rFonts w:ascii="华文中宋" w:hAnsi="华文中宋" w:eastAsia="华文中宋"/>
          <w:b/>
          <w:color w:val="auto"/>
          <w:szCs w:val="32"/>
        </w:rPr>
      </w:pPr>
      <w:bookmarkStart w:id="89" w:name="_Toc15939"/>
      <w:bookmarkStart w:id="90" w:name="_Toc16523"/>
      <w:bookmarkStart w:id="91" w:name="_Toc27248"/>
      <w:bookmarkStart w:id="92" w:name="_Toc8322"/>
      <w:bookmarkStart w:id="93" w:name="_Toc23951"/>
      <w:bookmarkStart w:id="94" w:name="_Toc21535"/>
      <w:bookmarkStart w:id="95" w:name="_Toc22959"/>
      <w:bookmarkStart w:id="96" w:name="_Toc14722"/>
      <w:bookmarkStart w:id="97" w:name="_Toc28111"/>
      <w:bookmarkStart w:id="98" w:name="_Toc9506"/>
      <w:r>
        <w:rPr>
          <w:rFonts w:hint="eastAsia" w:ascii="华文中宋" w:hAnsi="华文中宋" w:eastAsia="华文中宋"/>
          <w:b/>
          <w:color w:val="auto"/>
          <w:szCs w:val="32"/>
        </w:rPr>
        <w:t>（二）发展原则</w:t>
      </w:r>
      <w:bookmarkEnd w:id="89"/>
      <w:bookmarkEnd w:id="90"/>
      <w:bookmarkEnd w:id="91"/>
      <w:bookmarkEnd w:id="92"/>
      <w:bookmarkEnd w:id="93"/>
      <w:bookmarkEnd w:id="94"/>
      <w:bookmarkEnd w:id="95"/>
      <w:bookmarkEnd w:id="96"/>
      <w:bookmarkEnd w:id="97"/>
      <w:bookmarkEnd w:id="98"/>
    </w:p>
    <w:p>
      <w:pPr>
        <w:autoSpaceDE w:val="0"/>
        <w:autoSpaceDN w:val="0"/>
        <w:adjustRightInd w:val="0"/>
        <w:snapToGrid w:val="0"/>
        <w:spacing w:line="360" w:lineRule="auto"/>
        <w:ind w:firstLine="643"/>
        <w:rPr>
          <w:rFonts w:ascii="仿宋_GB2312" w:hAnsi="黑体" w:cs="Times New Roman"/>
          <w:color w:val="auto"/>
          <w:szCs w:val="32"/>
        </w:rPr>
      </w:pPr>
      <w:r>
        <w:rPr>
          <w:rFonts w:hint="eastAsia" w:ascii="仿宋_GB2312" w:hAnsi="黑体" w:cs="Times New Roman"/>
          <w:b/>
          <w:color w:val="auto"/>
          <w:szCs w:val="32"/>
        </w:rPr>
        <w:t>产业引领，双链融合。</w:t>
      </w:r>
      <w:r>
        <w:rPr>
          <w:rFonts w:hint="eastAsia" w:ascii="Times New Roman" w:hAnsi="Times New Roman" w:cs="Times New Roman"/>
          <w:bCs/>
          <w:color w:val="auto"/>
          <w:szCs w:val="32"/>
          <w:lang w:eastAsia="zh-Hans"/>
        </w:rPr>
        <w:t>坚持</w:t>
      </w:r>
      <w:r>
        <w:rPr>
          <w:rFonts w:hint="eastAsia" w:ascii="仿宋_GB2312" w:hAnsi="黑体" w:cs="Times New Roman"/>
          <w:color w:val="auto"/>
          <w:szCs w:val="32"/>
        </w:rPr>
        <w:t>围绕产业链部署创新链、围绕创新链布局产业链，聚焦</w:t>
      </w:r>
      <w:r>
        <w:rPr>
          <w:rFonts w:hint="eastAsia" w:ascii="仿宋_GB2312" w:hAnsi="黑体" w:cs="Times New Roman"/>
          <w:color w:val="auto"/>
          <w:szCs w:val="32"/>
          <w:lang w:eastAsia="zh-Hans"/>
        </w:rPr>
        <w:t>主导</w:t>
      </w:r>
      <w:r>
        <w:rPr>
          <w:rFonts w:hint="eastAsia" w:ascii="仿宋_GB2312" w:hAnsi="黑体" w:cs="Times New Roman"/>
          <w:color w:val="auto"/>
          <w:szCs w:val="32"/>
        </w:rPr>
        <w:t>产业</w:t>
      </w:r>
      <w:r>
        <w:rPr>
          <w:rFonts w:hint="eastAsia" w:ascii="仿宋_GB2312" w:hAnsi="黑体" w:cs="Times New Roman"/>
          <w:color w:val="auto"/>
          <w:szCs w:val="32"/>
          <w:lang w:eastAsia="zh-Hans"/>
        </w:rPr>
        <w:t>创新</w:t>
      </w:r>
      <w:r>
        <w:rPr>
          <w:rFonts w:hint="eastAsia" w:ascii="仿宋_GB2312" w:hAnsi="黑体" w:cs="Times New Roman"/>
          <w:color w:val="auto"/>
          <w:szCs w:val="32"/>
        </w:rPr>
        <w:t>需求，</w:t>
      </w:r>
      <w:r>
        <w:rPr>
          <w:rFonts w:ascii="仿宋_GB2312" w:hAnsi="黑体" w:cs="Times New Roman"/>
          <w:color w:val="auto"/>
          <w:szCs w:val="32"/>
        </w:rPr>
        <w:t>集聚高端创新资源</w:t>
      </w:r>
      <w:r>
        <w:rPr>
          <w:rFonts w:hint="eastAsia" w:ascii="仿宋_GB2312" w:hAnsi="黑体" w:cs="Times New Roman"/>
          <w:color w:val="auto"/>
          <w:szCs w:val="32"/>
        </w:rPr>
        <w:t>，提高创新供给质量，</w:t>
      </w:r>
      <w:r>
        <w:rPr>
          <w:rFonts w:ascii="仿宋_GB2312" w:hAnsi="黑体" w:cs="Times New Roman"/>
          <w:color w:val="auto"/>
          <w:szCs w:val="32"/>
        </w:rPr>
        <w:t>推动产业迈向中高端</w:t>
      </w:r>
      <w:r>
        <w:rPr>
          <w:rFonts w:hint="eastAsia" w:ascii="仿宋_GB2312" w:hAnsi="黑体" w:cs="Times New Roman"/>
          <w:color w:val="auto"/>
          <w:szCs w:val="32"/>
        </w:rPr>
        <w:t>。</w:t>
      </w:r>
    </w:p>
    <w:p>
      <w:pPr>
        <w:adjustRightInd w:val="0"/>
        <w:snapToGrid w:val="0"/>
        <w:spacing w:line="360" w:lineRule="auto"/>
        <w:ind w:firstLine="643"/>
        <w:rPr>
          <w:rFonts w:ascii="仿宋_GB2312" w:hAnsi="Times New Roman" w:cs="Times New Roman"/>
          <w:bCs/>
          <w:color w:val="auto"/>
          <w:szCs w:val="32"/>
        </w:rPr>
      </w:pPr>
      <w:r>
        <w:rPr>
          <w:rFonts w:hint="eastAsia" w:ascii="仿宋_GB2312" w:hAnsi="Times New Roman" w:cs="Times New Roman"/>
          <w:b/>
          <w:color w:val="auto"/>
          <w:szCs w:val="32"/>
        </w:rPr>
        <w:t>市场导向，企业主体。</w:t>
      </w:r>
      <w:r>
        <w:rPr>
          <w:rFonts w:hint="eastAsia" w:ascii="仿宋_GB2312" w:hAnsi="Times New Roman" w:cs="Times New Roman"/>
          <w:bCs/>
          <w:color w:val="auto"/>
          <w:szCs w:val="32"/>
        </w:rPr>
        <w:t>充分发挥市场在创新资源配置中的决定性作用，强化企业创新主体地位，</w:t>
      </w:r>
      <w:r>
        <w:rPr>
          <w:rFonts w:hint="eastAsia" w:ascii="仿宋_GB2312" w:hAnsi="Times New Roman" w:cs="Times New Roman"/>
          <w:bCs/>
          <w:color w:val="auto"/>
          <w:szCs w:val="32"/>
          <w:lang w:eastAsia="zh-Hans"/>
        </w:rPr>
        <w:t>提升</w:t>
      </w:r>
      <w:r>
        <w:rPr>
          <w:rFonts w:hint="eastAsia" w:ascii="仿宋_GB2312" w:hAnsi="Times New Roman" w:cs="Times New Roman"/>
          <w:bCs/>
          <w:color w:val="auto"/>
          <w:szCs w:val="32"/>
        </w:rPr>
        <w:t>大企业自主创新能力，推动大中小企业融通创新。</w:t>
      </w:r>
    </w:p>
    <w:p>
      <w:pPr>
        <w:autoSpaceDE w:val="0"/>
        <w:autoSpaceDN w:val="0"/>
        <w:adjustRightInd w:val="0"/>
        <w:snapToGrid w:val="0"/>
        <w:spacing w:line="360" w:lineRule="auto"/>
        <w:ind w:firstLine="643"/>
        <w:rPr>
          <w:rFonts w:ascii="仿宋_GB2312" w:hAnsi="Times New Roman" w:cs="Times New Roman"/>
          <w:bCs/>
          <w:color w:val="auto"/>
          <w:szCs w:val="32"/>
        </w:rPr>
      </w:pPr>
      <w:r>
        <w:rPr>
          <w:rFonts w:hint="eastAsia" w:ascii="仿宋_GB2312" w:hAnsi="黑体" w:cs="Times New Roman"/>
          <w:b/>
          <w:bCs/>
          <w:color w:val="auto"/>
          <w:szCs w:val="32"/>
        </w:rPr>
        <w:t>以人为本，优化生态。</w:t>
      </w:r>
      <w:r>
        <w:rPr>
          <w:rFonts w:hint="eastAsia" w:ascii="仿宋_GB2312" w:hAnsi="黑体" w:cs="Times New Roman"/>
          <w:bCs/>
          <w:color w:val="auto"/>
          <w:szCs w:val="32"/>
        </w:rPr>
        <w:t>牢固</w:t>
      </w:r>
      <w:r>
        <w:rPr>
          <w:rFonts w:hint="eastAsia" w:ascii="仿宋_GB2312" w:hAnsi="Times New Roman" w:cs="Times New Roman"/>
          <w:bCs/>
          <w:color w:val="auto"/>
          <w:szCs w:val="32"/>
        </w:rPr>
        <w:t>树立</w:t>
      </w:r>
      <w:r>
        <w:rPr>
          <w:rFonts w:ascii="仿宋_GB2312" w:hAnsi="Times New Roman" w:cs="Times New Roman"/>
          <w:bCs/>
          <w:color w:val="auto"/>
          <w:szCs w:val="32"/>
        </w:rPr>
        <w:t>人才是第一创新资源理念</w:t>
      </w:r>
      <w:r>
        <w:rPr>
          <w:rFonts w:hint="eastAsia" w:ascii="仿宋_GB2312" w:hAnsi="Times New Roman" w:cs="Times New Roman"/>
          <w:bCs/>
          <w:color w:val="auto"/>
          <w:szCs w:val="32"/>
        </w:rPr>
        <w:t>，集聚</w:t>
      </w:r>
      <w:r>
        <w:rPr>
          <w:rFonts w:hint="eastAsia" w:ascii="仿宋_GB2312" w:hAnsi="Times New Roman" w:cs="Times New Roman"/>
          <w:bCs/>
          <w:color w:val="auto"/>
          <w:szCs w:val="32"/>
          <w:lang w:eastAsia="zh-Hans"/>
        </w:rPr>
        <w:t>数据</w:t>
      </w:r>
      <w:r>
        <w:rPr>
          <w:rFonts w:hint="eastAsia" w:ascii="仿宋_GB2312" w:hAnsi="Times New Roman" w:cs="Times New Roman"/>
          <w:bCs/>
          <w:color w:val="auto"/>
          <w:szCs w:val="32"/>
        </w:rPr>
        <w:t>、资本等创新关键要素，</w:t>
      </w:r>
      <w:r>
        <w:rPr>
          <w:rFonts w:hint="eastAsia" w:ascii="仿宋_GB2312" w:hAnsi="黑体" w:cs="Times New Roman"/>
          <w:bCs/>
          <w:color w:val="auto"/>
          <w:szCs w:val="32"/>
        </w:rPr>
        <w:t>深化科技体制机制改革，</w:t>
      </w:r>
      <w:r>
        <w:rPr>
          <w:rFonts w:ascii="仿宋_GB2312" w:hAnsi="黑体" w:cs="Times New Roman"/>
          <w:bCs/>
          <w:color w:val="auto"/>
          <w:szCs w:val="32"/>
        </w:rPr>
        <w:t>充分激发创新主体活力</w:t>
      </w:r>
      <w:r>
        <w:rPr>
          <w:rFonts w:hint="eastAsia" w:ascii="仿宋_GB2312" w:hAnsi="黑体" w:cs="Times New Roman"/>
          <w:bCs/>
          <w:color w:val="auto"/>
          <w:szCs w:val="32"/>
        </w:rPr>
        <w:t>，不断</w:t>
      </w:r>
      <w:r>
        <w:rPr>
          <w:rFonts w:hint="eastAsia" w:ascii="仿宋_GB2312" w:hAnsi="Times New Roman" w:cs="Times New Roman"/>
          <w:bCs/>
          <w:color w:val="auto"/>
          <w:szCs w:val="32"/>
        </w:rPr>
        <w:t>优化创新创业生态</w:t>
      </w:r>
      <w:r>
        <w:rPr>
          <w:rFonts w:hint="eastAsia" w:ascii="仿宋_GB2312" w:hAnsi="Times New Roman" w:cs="Times New Roman"/>
          <w:bCs/>
          <w:color w:val="auto"/>
          <w:szCs w:val="32"/>
          <w:lang w:eastAsia="zh-Hans"/>
        </w:rPr>
        <w:t>环境</w:t>
      </w:r>
      <w:r>
        <w:rPr>
          <w:rFonts w:hint="eastAsia" w:ascii="仿宋_GB2312" w:hAnsi="Times New Roman" w:cs="Times New Roman"/>
          <w:bCs/>
          <w:color w:val="auto"/>
          <w:szCs w:val="32"/>
        </w:rPr>
        <w:t>。</w:t>
      </w:r>
    </w:p>
    <w:p>
      <w:pPr>
        <w:autoSpaceDE w:val="0"/>
        <w:autoSpaceDN w:val="0"/>
        <w:adjustRightInd w:val="0"/>
        <w:snapToGrid w:val="0"/>
        <w:spacing w:line="360" w:lineRule="auto"/>
        <w:ind w:firstLine="643"/>
        <w:rPr>
          <w:rFonts w:ascii="仿宋_GB2312" w:hAnsi="黑体" w:cs="Times New Roman"/>
          <w:color w:val="auto"/>
          <w:szCs w:val="32"/>
        </w:rPr>
      </w:pPr>
      <w:r>
        <w:rPr>
          <w:rFonts w:hint="eastAsia" w:ascii="仿宋_GB2312" w:hAnsi="黑体" w:cs="Times New Roman"/>
          <w:b/>
          <w:bCs/>
          <w:color w:val="auto"/>
          <w:szCs w:val="32"/>
        </w:rPr>
        <w:t>开放创新，内外循环。</w:t>
      </w:r>
      <w:r>
        <w:rPr>
          <w:rFonts w:hint="eastAsia" w:ascii="仿宋_GB2312" w:hAnsi="黑体" w:cs="Times New Roman"/>
          <w:bCs/>
          <w:color w:val="auto"/>
          <w:szCs w:val="32"/>
        </w:rPr>
        <w:t>充分发挥沿江区位优势，深度融入新发展格局</w:t>
      </w:r>
      <w:r>
        <w:rPr>
          <w:rFonts w:hint="eastAsia" w:ascii="仿宋_GB2312" w:hAnsi="黑体" w:cs="Times New Roman"/>
          <w:bCs/>
          <w:color w:val="auto"/>
          <w:szCs w:val="32"/>
          <w:lang w:eastAsia="zh-Hans"/>
        </w:rPr>
        <w:t>，</w:t>
      </w:r>
      <w:r>
        <w:rPr>
          <w:rFonts w:hint="eastAsia" w:ascii="仿宋_GB2312" w:hAnsi="黑体" w:cs="Times New Roman"/>
          <w:bCs/>
          <w:color w:val="auto"/>
          <w:szCs w:val="32"/>
        </w:rPr>
        <w:t>引领带动区域发展，构筑全域创新、区域协同、全球链接的多层次开放创新网络</w:t>
      </w:r>
      <w:r>
        <w:rPr>
          <w:rFonts w:hint="eastAsia" w:ascii="仿宋_GB2312" w:hAnsi="黑体" w:cs="Times New Roman"/>
          <w:color w:val="auto"/>
          <w:szCs w:val="32"/>
          <w:lang w:eastAsia="zh-Hans"/>
        </w:rPr>
        <w:t>。</w:t>
      </w:r>
    </w:p>
    <w:p>
      <w:pPr>
        <w:autoSpaceDE w:val="0"/>
        <w:autoSpaceDN w:val="0"/>
        <w:adjustRightInd w:val="0"/>
        <w:snapToGrid w:val="0"/>
        <w:spacing w:line="360" w:lineRule="auto"/>
        <w:ind w:firstLine="641"/>
        <w:outlineLvl w:val="1"/>
        <w:rPr>
          <w:rFonts w:ascii="华文中宋" w:hAnsi="华文中宋" w:eastAsia="华文中宋"/>
          <w:b/>
          <w:color w:val="auto"/>
          <w:szCs w:val="32"/>
        </w:rPr>
      </w:pPr>
      <w:bookmarkStart w:id="99" w:name="_Toc9352"/>
      <w:bookmarkStart w:id="100" w:name="_Toc9748"/>
      <w:bookmarkStart w:id="101" w:name="_Toc893"/>
      <w:bookmarkStart w:id="102" w:name="_Toc11853"/>
      <w:bookmarkStart w:id="103" w:name="_Toc8719"/>
      <w:bookmarkStart w:id="104" w:name="_Toc10315"/>
      <w:bookmarkStart w:id="105" w:name="_Toc7111"/>
      <w:bookmarkStart w:id="106" w:name="_Toc23745"/>
      <w:bookmarkStart w:id="107" w:name="_Toc15051"/>
      <w:bookmarkStart w:id="108" w:name="_Toc2693"/>
      <w:r>
        <w:rPr>
          <w:rFonts w:hint="eastAsia" w:ascii="华文中宋" w:hAnsi="华文中宋" w:eastAsia="华文中宋"/>
          <w:b/>
          <w:color w:val="auto"/>
          <w:szCs w:val="32"/>
        </w:rPr>
        <w:t>（三）发展目标</w:t>
      </w:r>
      <w:bookmarkEnd w:id="99"/>
      <w:bookmarkEnd w:id="100"/>
      <w:bookmarkEnd w:id="101"/>
      <w:bookmarkEnd w:id="102"/>
      <w:bookmarkEnd w:id="103"/>
      <w:bookmarkEnd w:id="104"/>
      <w:bookmarkEnd w:id="105"/>
      <w:bookmarkEnd w:id="106"/>
      <w:bookmarkEnd w:id="107"/>
      <w:bookmarkEnd w:id="108"/>
    </w:p>
    <w:p>
      <w:pPr>
        <w:autoSpaceDE w:val="0"/>
        <w:autoSpaceDN w:val="0"/>
        <w:adjustRightInd w:val="0"/>
        <w:snapToGrid w:val="0"/>
        <w:spacing w:line="360" w:lineRule="auto"/>
        <w:ind w:firstLine="640"/>
        <w:rPr>
          <w:rFonts w:ascii="仿宋_GB2312" w:hAnsi="黑体" w:cs="Times New Roman"/>
          <w:color w:val="auto"/>
          <w:szCs w:val="32"/>
        </w:rPr>
      </w:pPr>
      <w:r>
        <w:rPr>
          <w:rFonts w:hint="eastAsia" w:ascii="仿宋_GB2312" w:hAnsi="黑体" w:cs="Times New Roman"/>
          <w:color w:val="auto"/>
          <w:szCs w:val="32"/>
        </w:rPr>
        <w:t>到2025年，万亿级车谷产业创新大走廊加速崛起，科技创新能力明显提升，以企业为核心的创新</w:t>
      </w:r>
      <w:r>
        <w:rPr>
          <w:rFonts w:hint="eastAsia" w:ascii="仿宋_GB2312" w:hAnsi="黑体" w:cs="Times New Roman"/>
          <w:color w:val="auto"/>
          <w:szCs w:val="32"/>
          <w:lang w:eastAsia="zh-Hans"/>
        </w:rPr>
        <w:t>体系</w:t>
      </w:r>
      <w:r>
        <w:rPr>
          <w:rFonts w:hint="eastAsia" w:ascii="仿宋_GB2312" w:hAnsi="黑体" w:cs="Times New Roman"/>
          <w:color w:val="auto"/>
          <w:szCs w:val="32"/>
        </w:rPr>
        <w:t>基本形成，建成一批多层次创新平台，涌现出一批有影响力的科技成果，科技创新成为驱动全区经济社会高质量发展的核心引擎，在全省的科技创新战略位势不断提升，科技创新能力进入全国经济技术开发区第一方阵。</w:t>
      </w:r>
    </w:p>
    <w:p>
      <w:pPr>
        <w:autoSpaceDE w:val="0"/>
        <w:autoSpaceDN w:val="0"/>
        <w:adjustRightInd w:val="0"/>
        <w:snapToGrid w:val="0"/>
        <w:spacing w:line="360" w:lineRule="auto"/>
        <w:ind w:firstLine="643"/>
        <w:rPr>
          <w:rFonts w:ascii="仿宋_GB2312" w:hAnsi="华文中宋" w:cs="Times New Roman"/>
          <w:color w:val="auto"/>
          <w:szCs w:val="32"/>
        </w:rPr>
      </w:pPr>
      <w:r>
        <w:rPr>
          <w:rFonts w:hint="eastAsia" w:ascii="仿宋_GB2312" w:hAnsi="华文中宋" w:cs="Times New Roman"/>
          <w:b/>
          <w:color w:val="auto"/>
          <w:szCs w:val="32"/>
        </w:rPr>
        <w:t>创新能力大幅提升。</w:t>
      </w:r>
      <w:r>
        <w:rPr>
          <w:rFonts w:hint="eastAsia" w:ascii="仿宋_GB2312" w:hAnsi="华文中宋" w:cs="Times New Roman"/>
          <w:color w:val="auto"/>
          <w:szCs w:val="32"/>
        </w:rPr>
        <w:t>创新投入</w:t>
      </w:r>
      <w:r>
        <w:rPr>
          <w:rFonts w:hint="eastAsia" w:ascii="仿宋_GB2312" w:hAnsi="华文中宋" w:cs="Times New Roman"/>
          <w:color w:val="auto"/>
          <w:szCs w:val="32"/>
          <w:lang w:eastAsia="zh-Hans"/>
        </w:rPr>
        <w:t>力度不断加大</w:t>
      </w:r>
      <w:r>
        <w:rPr>
          <w:rFonts w:hint="eastAsia" w:ascii="仿宋_GB2312" w:hAnsi="华文中宋" w:cs="Times New Roman"/>
          <w:color w:val="auto"/>
          <w:szCs w:val="32"/>
        </w:rPr>
        <w:t>，全社会研发经费投入年均增长率达到</w:t>
      </w:r>
      <w:r>
        <w:rPr>
          <w:rFonts w:ascii="仿宋_GB2312" w:hAnsi="华文中宋" w:cs="Times New Roman"/>
          <w:color w:val="auto"/>
          <w:szCs w:val="32"/>
        </w:rPr>
        <w:t>14</w:t>
      </w:r>
      <w:r>
        <w:rPr>
          <w:rFonts w:hint="eastAsia" w:ascii="仿宋_GB2312" w:hAnsi="华文中宋" w:cs="Times New Roman"/>
          <w:color w:val="auto"/>
          <w:szCs w:val="32"/>
        </w:rPr>
        <w:t>%，高新技术产业增加值占地区生产总值比重超过</w:t>
      </w:r>
      <w:r>
        <w:rPr>
          <w:rFonts w:ascii="仿宋_GB2312" w:hAnsi="华文中宋" w:cs="Times New Roman"/>
          <w:color w:val="auto"/>
          <w:szCs w:val="32"/>
        </w:rPr>
        <w:t>40</w:t>
      </w:r>
      <w:r>
        <w:rPr>
          <w:rFonts w:hint="eastAsia" w:ascii="仿宋_GB2312" w:hAnsi="华文中宋" w:cs="Times New Roman"/>
          <w:color w:val="auto"/>
          <w:szCs w:val="32"/>
        </w:rPr>
        <w:t>%，省级及以上研发机构突破100家，新型研发机构达到15家，“3335”主导产业创新能力迈上新台阶。</w:t>
      </w:r>
    </w:p>
    <w:p>
      <w:pPr>
        <w:autoSpaceDE w:val="0"/>
        <w:autoSpaceDN w:val="0"/>
        <w:adjustRightInd w:val="0"/>
        <w:snapToGrid w:val="0"/>
        <w:spacing w:line="360" w:lineRule="auto"/>
        <w:ind w:firstLine="643"/>
        <w:rPr>
          <w:rFonts w:ascii="仿宋_GB2312" w:hAnsi="华文中宋" w:cs="Times New Roman"/>
          <w:bCs/>
          <w:color w:val="auto"/>
          <w:szCs w:val="32"/>
        </w:rPr>
      </w:pPr>
      <w:r>
        <w:rPr>
          <w:rFonts w:hint="eastAsia" w:ascii="仿宋_GB2312" w:hAnsi="华文中宋" w:cs="Times New Roman"/>
          <w:b/>
          <w:color w:val="auto"/>
          <w:szCs w:val="32"/>
        </w:rPr>
        <w:t>创新空间更加开放。</w:t>
      </w:r>
      <w:r>
        <w:rPr>
          <w:rFonts w:hint="eastAsia" w:ascii="仿宋_GB2312" w:hAnsi="华文中宋" w:cs="Times New Roman"/>
          <w:bCs/>
          <w:color w:val="auto"/>
          <w:szCs w:val="32"/>
        </w:rPr>
        <w:t>区域创新发展架构基本形成，车谷产业创新大走廊建设全面推进，经开新区·军山新城创新核心地位凸显，建成一批创新街区（园区、楼宇）</w:t>
      </w:r>
      <w:r>
        <w:rPr>
          <w:rFonts w:ascii="仿宋_GB2312" w:hAnsi="华文中宋" w:cs="Times New Roman"/>
          <w:bCs/>
          <w:color w:val="auto"/>
          <w:szCs w:val="32"/>
        </w:rPr>
        <w:t>，中小企业发展空间更加广阔，</w:t>
      </w:r>
      <w:r>
        <w:rPr>
          <w:rFonts w:hint="eastAsia" w:ascii="仿宋_GB2312" w:hAnsi="华文中宋" w:cs="Times New Roman"/>
          <w:bCs/>
          <w:color w:val="auto"/>
          <w:szCs w:val="32"/>
        </w:rPr>
        <w:t>区域协同辐射带动作用进一步增强。</w:t>
      </w:r>
    </w:p>
    <w:p>
      <w:pPr>
        <w:autoSpaceDE w:val="0"/>
        <w:autoSpaceDN w:val="0"/>
        <w:adjustRightInd w:val="0"/>
        <w:snapToGrid w:val="0"/>
        <w:spacing w:line="360" w:lineRule="auto"/>
        <w:ind w:firstLine="643"/>
        <w:rPr>
          <w:rFonts w:ascii="仿宋_GB2312" w:hAnsi="华文中宋" w:cs="Times New Roman"/>
          <w:color w:val="auto"/>
          <w:szCs w:val="32"/>
        </w:rPr>
      </w:pPr>
      <w:r>
        <w:rPr>
          <w:rFonts w:hint="eastAsia" w:ascii="仿宋_GB2312" w:hAnsi="华文中宋" w:cs="Times New Roman"/>
          <w:b/>
          <w:color w:val="auto"/>
          <w:szCs w:val="32"/>
        </w:rPr>
        <w:t>创新主体更具活力。</w:t>
      </w:r>
      <w:r>
        <w:rPr>
          <w:rFonts w:hint="eastAsia" w:ascii="仿宋_GB2312" w:hAnsi="华文中宋" w:cs="Times New Roman"/>
          <w:bCs/>
          <w:color w:val="auto"/>
          <w:szCs w:val="32"/>
        </w:rPr>
        <w:t>创新</w:t>
      </w:r>
      <w:r>
        <w:rPr>
          <w:rFonts w:hint="eastAsia" w:ascii="仿宋_GB2312" w:hAnsi="华文中宋" w:cs="Times New Roman"/>
          <w:color w:val="auto"/>
          <w:szCs w:val="32"/>
        </w:rPr>
        <w:t>型企业培育链条不断完善，省级及以上孵化载体达到8家，高新技术企业突破3000家，集聚一批科技型中小企业，累计培育独角兽企业3家，具有国际竞争力的创新标杆企业加速涌现，初步形成“大企业顶天立地、中小企业铺天盖地”发展格局。</w:t>
      </w:r>
    </w:p>
    <w:p>
      <w:pPr>
        <w:autoSpaceDE w:val="0"/>
        <w:autoSpaceDN w:val="0"/>
        <w:adjustRightInd w:val="0"/>
        <w:snapToGrid w:val="0"/>
        <w:spacing w:line="360" w:lineRule="auto"/>
        <w:ind w:firstLine="643"/>
        <w:rPr>
          <w:rFonts w:ascii="仿宋_GB2312" w:hAnsi="华文中宋" w:cs="Times New Roman"/>
          <w:bCs/>
          <w:color w:val="auto"/>
          <w:szCs w:val="32"/>
        </w:rPr>
      </w:pPr>
      <w:r>
        <w:rPr>
          <w:rFonts w:hint="eastAsia" w:ascii="仿宋_GB2312" w:hAnsi="华文中宋" w:cs="Times New Roman"/>
          <w:b/>
          <w:color w:val="auto"/>
          <w:szCs w:val="32"/>
        </w:rPr>
        <w:t>创新生态持续优化。</w:t>
      </w:r>
      <w:r>
        <w:rPr>
          <w:rFonts w:hint="eastAsia" w:ascii="仿宋_GB2312" w:hAnsi="华文中宋" w:cs="Times New Roman"/>
          <w:bCs/>
          <w:color w:val="auto"/>
          <w:szCs w:val="32"/>
        </w:rPr>
        <w:t>创新人才加快汇聚，知识产权创造和运用质量持续提升，每万人口高价值发明专利拥有量达到30件，技术市场成交合同额增速大于20%，风险投资、创业投资更加活跃，数据价值化水平不断提高，科技创新文化氛围日益浓厚，热带雨林式创新生态环境基本形成。</w:t>
      </w:r>
    </w:p>
    <w:p>
      <w:pPr>
        <w:adjustRightInd w:val="0"/>
        <w:snapToGrid w:val="0"/>
        <w:spacing w:line="360" w:lineRule="auto"/>
        <w:ind w:firstLine="0" w:firstLineChars="0"/>
        <w:jc w:val="center"/>
        <w:outlineLvl w:val="3"/>
        <w:rPr>
          <w:rFonts w:ascii="仿宋_GB2312" w:hAnsi="仿宋_GB2312" w:cs="仿宋_GB2312"/>
          <w:b/>
          <w:color w:val="auto"/>
          <w:sz w:val="30"/>
          <w:szCs w:val="30"/>
        </w:rPr>
      </w:pPr>
      <w:r>
        <w:rPr>
          <w:rFonts w:hint="eastAsia" w:ascii="仿宋_GB2312" w:hAnsi="仿宋_GB2312" w:cs="仿宋_GB2312"/>
          <w:b/>
          <w:color w:val="auto"/>
          <w:sz w:val="30"/>
          <w:szCs w:val="30"/>
        </w:rPr>
        <w:t>表1 武汉经开区“十四五”时期科技创新预期性目标</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65"/>
        <w:gridCol w:w="5482"/>
        <w:gridCol w:w="1110"/>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53"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center"/>
              <w:rPr>
                <w:rFonts w:ascii="仿宋_GB2312" w:hAnsi="仿宋_GB2312" w:cs="仿宋_GB2312"/>
                <w:color w:val="auto"/>
                <w:kern w:val="0"/>
                <w:sz w:val="28"/>
              </w:rPr>
            </w:pPr>
            <w:r>
              <w:rPr>
                <w:rFonts w:hint="eastAsia" w:ascii="仿宋_GB2312" w:hAnsi="仿宋_GB2312" w:cs="仿宋_GB2312"/>
                <w:b/>
                <w:bCs/>
                <w:color w:val="auto"/>
                <w:kern w:val="0"/>
                <w:sz w:val="28"/>
              </w:rPr>
              <w:t>序号</w:t>
            </w:r>
          </w:p>
        </w:tc>
        <w:tc>
          <w:tcPr>
            <w:tcW w:w="3246"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center"/>
              <w:rPr>
                <w:rFonts w:ascii="仿宋_GB2312" w:hAnsi="仿宋_GB2312" w:cs="仿宋_GB2312"/>
                <w:color w:val="auto"/>
                <w:kern w:val="0"/>
                <w:sz w:val="28"/>
              </w:rPr>
            </w:pPr>
            <w:r>
              <w:rPr>
                <w:rFonts w:hint="eastAsia" w:ascii="仿宋_GB2312" w:hAnsi="仿宋_GB2312" w:cs="仿宋_GB2312"/>
                <w:b/>
                <w:bCs/>
                <w:color w:val="auto"/>
                <w:kern w:val="0"/>
                <w:sz w:val="28"/>
              </w:rPr>
              <w:t>指标名称（单位）</w:t>
            </w:r>
          </w:p>
        </w:tc>
        <w:tc>
          <w:tcPr>
            <w:tcW w:w="657"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center"/>
              <w:rPr>
                <w:rFonts w:ascii="仿宋_GB2312" w:hAnsi="仿宋_GB2312" w:cs="仿宋_GB2312"/>
                <w:b/>
                <w:bCs/>
                <w:color w:val="auto"/>
                <w:kern w:val="0"/>
                <w:sz w:val="28"/>
              </w:rPr>
            </w:pPr>
            <w:r>
              <w:rPr>
                <w:rFonts w:hint="eastAsia" w:ascii="仿宋_GB2312" w:hAnsi="仿宋_GB2312" w:cs="仿宋_GB2312"/>
                <w:b/>
                <w:bCs/>
                <w:color w:val="auto"/>
                <w:kern w:val="0"/>
                <w:sz w:val="28"/>
              </w:rPr>
              <w:t>2020年</w:t>
            </w:r>
          </w:p>
        </w:tc>
        <w:tc>
          <w:tcPr>
            <w:tcW w:w="644"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center"/>
              <w:rPr>
                <w:rFonts w:ascii="仿宋_GB2312" w:hAnsi="仿宋_GB2312" w:cs="仿宋_GB2312"/>
                <w:color w:val="auto"/>
                <w:kern w:val="0"/>
                <w:sz w:val="28"/>
              </w:rPr>
            </w:pPr>
            <w:r>
              <w:rPr>
                <w:rFonts w:hint="eastAsia" w:ascii="仿宋_GB2312" w:hAnsi="仿宋_GB2312" w:cs="仿宋_GB2312"/>
                <w:b/>
                <w:bCs/>
                <w:color w:val="auto"/>
                <w:kern w:val="0"/>
                <w:sz w:val="28"/>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53" w:type="pct"/>
            <w:shd w:val="clear" w:color="auto" w:fill="auto"/>
            <w:tcMar>
              <w:top w:w="15" w:type="dxa"/>
              <w:left w:w="71" w:type="dxa"/>
              <w:bottom w:w="0" w:type="dxa"/>
              <w:right w:w="71" w:type="dxa"/>
            </w:tcMar>
            <w:vAlign w:val="center"/>
          </w:tcPr>
          <w:p>
            <w:pPr>
              <w:widowControl/>
              <w:numPr>
                <w:ilvl w:val="0"/>
                <w:numId w:val="1"/>
              </w:numPr>
              <w:adjustRightInd w:val="0"/>
              <w:snapToGrid w:val="0"/>
              <w:spacing w:line="360" w:lineRule="auto"/>
              <w:ind w:left="0" w:firstLine="0" w:firstLineChars="0"/>
              <w:jc w:val="center"/>
              <w:rPr>
                <w:rFonts w:ascii="仿宋_GB2312" w:hAnsi="仿宋_GB2312" w:cs="仿宋_GB2312"/>
                <w:color w:val="auto"/>
                <w:kern w:val="0"/>
                <w:sz w:val="24"/>
                <w:szCs w:val="22"/>
              </w:rPr>
            </w:pPr>
          </w:p>
        </w:tc>
        <w:tc>
          <w:tcPr>
            <w:tcW w:w="3246"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left"/>
              <w:rPr>
                <w:rFonts w:ascii="仿宋_GB2312" w:hAnsi="仿宋_GB2312" w:cs="仿宋_GB2312"/>
                <w:color w:val="auto"/>
                <w:kern w:val="0"/>
                <w:sz w:val="24"/>
              </w:rPr>
            </w:pPr>
            <w:r>
              <w:rPr>
                <w:rFonts w:hint="eastAsia" w:ascii="仿宋_GB2312" w:hAnsi="仿宋_GB2312" w:cs="仿宋_GB2312"/>
                <w:color w:val="auto"/>
                <w:kern w:val="0"/>
                <w:sz w:val="24"/>
              </w:rPr>
              <w:t>全社会研发经费投入年均增长（%）</w:t>
            </w:r>
          </w:p>
        </w:tc>
        <w:tc>
          <w:tcPr>
            <w:tcW w:w="657"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center"/>
              <w:rPr>
                <w:rFonts w:ascii="仿宋_GB2312" w:hAnsi="仿宋_GB2312" w:cs="仿宋_GB2312"/>
                <w:color w:val="auto"/>
                <w:kern w:val="0"/>
                <w:sz w:val="24"/>
              </w:rPr>
            </w:pPr>
            <w:r>
              <w:rPr>
                <w:rFonts w:hint="eastAsia" w:ascii="仿宋_GB2312" w:hAnsi="仿宋_GB2312" w:cs="仿宋_GB2312"/>
                <w:color w:val="auto"/>
                <w:kern w:val="0"/>
                <w:sz w:val="24"/>
              </w:rPr>
              <w:t>/</w:t>
            </w:r>
          </w:p>
        </w:tc>
        <w:tc>
          <w:tcPr>
            <w:tcW w:w="644"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center"/>
              <w:rPr>
                <w:rFonts w:ascii="仿宋_GB2312" w:hAnsi="仿宋_GB2312" w:cs="仿宋_GB2312"/>
                <w:color w:val="auto"/>
                <w:kern w:val="0"/>
                <w:sz w:val="24"/>
              </w:rPr>
            </w:pPr>
            <w:r>
              <w:rPr>
                <w:rFonts w:hint="eastAsia" w:ascii="仿宋_GB2312" w:hAnsi="仿宋_GB2312" w:cs="仿宋_GB2312"/>
                <w:color w:val="auto"/>
                <w:kern w:val="0"/>
                <w:sz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53" w:type="pct"/>
            <w:shd w:val="clear" w:color="auto" w:fill="auto"/>
            <w:tcMar>
              <w:top w:w="15" w:type="dxa"/>
              <w:left w:w="71" w:type="dxa"/>
              <w:bottom w:w="0" w:type="dxa"/>
              <w:right w:w="71" w:type="dxa"/>
            </w:tcMar>
            <w:vAlign w:val="center"/>
          </w:tcPr>
          <w:p>
            <w:pPr>
              <w:widowControl/>
              <w:numPr>
                <w:ilvl w:val="0"/>
                <w:numId w:val="1"/>
              </w:numPr>
              <w:adjustRightInd w:val="0"/>
              <w:snapToGrid w:val="0"/>
              <w:spacing w:line="360" w:lineRule="auto"/>
              <w:ind w:left="0" w:firstLine="0" w:firstLineChars="0"/>
              <w:jc w:val="center"/>
              <w:rPr>
                <w:rFonts w:ascii="仿宋_GB2312" w:hAnsi="仿宋_GB2312" w:cs="仿宋_GB2312"/>
                <w:color w:val="auto"/>
                <w:sz w:val="24"/>
                <w:szCs w:val="22"/>
              </w:rPr>
            </w:pPr>
          </w:p>
        </w:tc>
        <w:tc>
          <w:tcPr>
            <w:tcW w:w="3246"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left"/>
              <w:rPr>
                <w:rFonts w:ascii="仿宋_GB2312" w:hAnsi="仿宋_GB2312" w:cs="仿宋_GB2312"/>
                <w:color w:val="auto"/>
                <w:kern w:val="24"/>
                <w:sz w:val="24"/>
              </w:rPr>
            </w:pPr>
            <w:r>
              <w:rPr>
                <w:rFonts w:hint="eastAsia" w:ascii="仿宋_GB2312" w:hAnsi="仿宋_GB2312" w:cs="仿宋_GB2312"/>
                <w:color w:val="auto"/>
                <w:kern w:val="24"/>
                <w:sz w:val="24"/>
              </w:rPr>
              <w:t>高新技术产业增加值占地区生产总值比重</w:t>
            </w:r>
            <w:r>
              <w:rPr>
                <w:rFonts w:hint="eastAsia" w:ascii="仿宋_GB2312" w:hAnsi="仿宋_GB2312" w:cs="仿宋_GB2312"/>
                <w:color w:val="auto"/>
                <w:kern w:val="0"/>
                <w:sz w:val="24"/>
              </w:rPr>
              <w:t>（%）</w:t>
            </w:r>
          </w:p>
        </w:tc>
        <w:tc>
          <w:tcPr>
            <w:tcW w:w="657"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center"/>
              <w:rPr>
                <w:rFonts w:ascii="仿宋_GB2312" w:hAnsi="仿宋_GB2312" w:cs="仿宋_GB2312"/>
                <w:color w:val="auto"/>
                <w:kern w:val="0"/>
                <w:sz w:val="24"/>
              </w:rPr>
            </w:pPr>
            <w:r>
              <w:rPr>
                <w:rFonts w:hint="eastAsia" w:ascii="仿宋_GB2312" w:hAnsi="仿宋_GB2312" w:cs="仿宋_GB2312"/>
                <w:color w:val="auto"/>
                <w:kern w:val="0"/>
                <w:sz w:val="24"/>
              </w:rPr>
              <w:t>/</w:t>
            </w:r>
          </w:p>
        </w:tc>
        <w:tc>
          <w:tcPr>
            <w:tcW w:w="644"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center"/>
              <w:rPr>
                <w:rFonts w:ascii="仿宋_GB2312" w:hAnsi="仿宋_GB2312" w:cs="仿宋_GB2312"/>
                <w:color w:val="auto"/>
                <w:kern w:val="0"/>
                <w:sz w:val="24"/>
              </w:rPr>
            </w:pPr>
            <w:r>
              <w:rPr>
                <w:rFonts w:hint="eastAsia" w:ascii="仿宋_GB2312" w:hAnsi="仿宋_GB2312" w:cs="仿宋_GB2312"/>
                <w:color w:val="auto"/>
                <w:kern w:val="0"/>
                <w:sz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53" w:type="pct"/>
            <w:shd w:val="clear" w:color="auto" w:fill="auto"/>
            <w:tcMar>
              <w:top w:w="15" w:type="dxa"/>
              <w:left w:w="71" w:type="dxa"/>
              <w:bottom w:w="0" w:type="dxa"/>
              <w:right w:w="71" w:type="dxa"/>
            </w:tcMar>
            <w:vAlign w:val="center"/>
          </w:tcPr>
          <w:p>
            <w:pPr>
              <w:widowControl/>
              <w:numPr>
                <w:ilvl w:val="0"/>
                <w:numId w:val="1"/>
              </w:numPr>
              <w:adjustRightInd w:val="0"/>
              <w:snapToGrid w:val="0"/>
              <w:spacing w:line="360" w:lineRule="auto"/>
              <w:ind w:left="0" w:firstLine="0" w:firstLineChars="0"/>
              <w:jc w:val="center"/>
              <w:rPr>
                <w:rFonts w:ascii="仿宋_GB2312" w:hAnsi="仿宋_GB2312" w:cs="仿宋_GB2312"/>
                <w:color w:val="auto"/>
                <w:sz w:val="24"/>
                <w:szCs w:val="22"/>
              </w:rPr>
            </w:pPr>
          </w:p>
        </w:tc>
        <w:tc>
          <w:tcPr>
            <w:tcW w:w="3246"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left"/>
              <w:rPr>
                <w:rFonts w:ascii="仿宋_GB2312" w:hAnsi="仿宋_GB2312" w:cs="仿宋_GB2312"/>
                <w:color w:val="auto"/>
                <w:kern w:val="0"/>
                <w:sz w:val="24"/>
              </w:rPr>
            </w:pPr>
            <w:r>
              <w:rPr>
                <w:rFonts w:hint="eastAsia" w:ascii="仿宋_GB2312" w:hAnsi="仿宋_GB2312" w:cs="仿宋_GB2312"/>
                <w:color w:val="auto"/>
                <w:kern w:val="0"/>
                <w:sz w:val="24"/>
              </w:rPr>
              <w:t>省级及以上研发机构数（家）</w:t>
            </w:r>
          </w:p>
        </w:tc>
        <w:tc>
          <w:tcPr>
            <w:tcW w:w="657"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center"/>
              <w:rPr>
                <w:rFonts w:ascii="仿宋_GB2312" w:hAnsi="仿宋_GB2312" w:cs="仿宋_GB2312"/>
                <w:color w:val="auto"/>
                <w:kern w:val="0"/>
                <w:sz w:val="24"/>
              </w:rPr>
            </w:pPr>
            <w:r>
              <w:rPr>
                <w:rFonts w:hint="eastAsia" w:ascii="仿宋_GB2312" w:hAnsi="仿宋_GB2312" w:cs="仿宋_GB2312"/>
                <w:color w:val="auto"/>
                <w:kern w:val="0"/>
                <w:sz w:val="24"/>
              </w:rPr>
              <w:t>55</w:t>
            </w:r>
          </w:p>
        </w:tc>
        <w:tc>
          <w:tcPr>
            <w:tcW w:w="644"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center"/>
              <w:rPr>
                <w:rFonts w:ascii="仿宋_GB2312" w:hAnsi="仿宋_GB2312" w:cs="仿宋_GB2312"/>
                <w:color w:val="auto"/>
                <w:kern w:val="0"/>
                <w:sz w:val="24"/>
              </w:rPr>
            </w:pPr>
            <w:r>
              <w:rPr>
                <w:rFonts w:hint="eastAsia" w:ascii="仿宋_GB2312" w:hAnsi="仿宋_GB2312" w:cs="仿宋_GB2312"/>
                <w:color w:val="auto"/>
                <w:kern w:val="0"/>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53" w:type="pct"/>
            <w:shd w:val="clear" w:color="auto" w:fill="auto"/>
            <w:tcMar>
              <w:top w:w="15" w:type="dxa"/>
              <w:left w:w="71" w:type="dxa"/>
              <w:bottom w:w="0" w:type="dxa"/>
              <w:right w:w="71" w:type="dxa"/>
            </w:tcMar>
            <w:vAlign w:val="center"/>
          </w:tcPr>
          <w:p>
            <w:pPr>
              <w:widowControl/>
              <w:numPr>
                <w:ilvl w:val="0"/>
                <w:numId w:val="1"/>
              </w:numPr>
              <w:adjustRightInd w:val="0"/>
              <w:snapToGrid w:val="0"/>
              <w:spacing w:line="360" w:lineRule="auto"/>
              <w:ind w:left="0" w:firstLine="0" w:firstLineChars="0"/>
              <w:jc w:val="center"/>
              <w:rPr>
                <w:rFonts w:ascii="仿宋_GB2312" w:hAnsi="仿宋_GB2312" w:cs="仿宋_GB2312"/>
                <w:color w:val="auto"/>
                <w:sz w:val="24"/>
                <w:szCs w:val="22"/>
              </w:rPr>
            </w:pPr>
          </w:p>
        </w:tc>
        <w:tc>
          <w:tcPr>
            <w:tcW w:w="3246"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left"/>
              <w:rPr>
                <w:rFonts w:ascii="仿宋_GB2312" w:hAnsi="仿宋_GB2312" w:cs="仿宋_GB2312"/>
                <w:color w:val="auto"/>
                <w:kern w:val="0"/>
                <w:sz w:val="24"/>
              </w:rPr>
            </w:pPr>
            <w:r>
              <w:rPr>
                <w:rFonts w:hint="eastAsia" w:ascii="仿宋_GB2312" w:hAnsi="仿宋_GB2312" w:cs="仿宋_GB2312"/>
                <w:color w:val="auto"/>
                <w:kern w:val="0"/>
                <w:sz w:val="24"/>
              </w:rPr>
              <w:t>新型研发机构数（家）</w:t>
            </w:r>
          </w:p>
        </w:tc>
        <w:tc>
          <w:tcPr>
            <w:tcW w:w="657"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center"/>
              <w:rPr>
                <w:rFonts w:ascii="仿宋_GB2312" w:hAnsi="仿宋_GB2312" w:cs="仿宋_GB2312"/>
                <w:color w:val="auto"/>
                <w:kern w:val="0"/>
                <w:sz w:val="24"/>
              </w:rPr>
            </w:pPr>
            <w:r>
              <w:rPr>
                <w:rFonts w:hint="eastAsia" w:ascii="仿宋_GB2312" w:hAnsi="仿宋_GB2312" w:cs="仿宋_GB2312"/>
                <w:color w:val="auto"/>
                <w:kern w:val="0"/>
                <w:sz w:val="24"/>
              </w:rPr>
              <w:t>4</w:t>
            </w:r>
          </w:p>
        </w:tc>
        <w:tc>
          <w:tcPr>
            <w:tcW w:w="644"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center"/>
              <w:rPr>
                <w:rFonts w:ascii="仿宋_GB2312" w:hAnsi="仿宋_GB2312" w:cs="仿宋_GB2312"/>
                <w:color w:val="auto"/>
                <w:kern w:val="0"/>
                <w:sz w:val="24"/>
              </w:rPr>
            </w:pPr>
            <w:r>
              <w:rPr>
                <w:rFonts w:hint="eastAsia" w:ascii="仿宋_GB2312" w:hAnsi="仿宋_GB2312" w:cs="仿宋_GB2312"/>
                <w:color w:val="auto"/>
                <w:kern w:val="0"/>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53" w:type="pct"/>
            <w:shd w:val="clear" w:color="auto" w:fill="auto"/>
            <w:tcMar>
              <w:top w:w="15" w:type="dxa"/>
              <w:left w:w="71" w:type="dxa"/>
              <w:bottom w:w="0" w:type="dxa"/>
              <w:right w:w="71" w:type="dxa"/>
            </w:tcMar>
            <w:vAlign w:val="center"/>
          </w:tcPr>
          <w:p>
            <w:pPr>
              <w:widowControl/>
              <w:numPr>
                <w:ilvl w:val="0"/>
                <w:numId w:val="1"/>
              </w:numPr>
              <w:adjustRightInd w:val="0"/>
              <w:snapToGrid w:val="0"/>
              <w:spacing w:line="360" w:lineRule="auto"/>
              <w:ind w:left="0" w:firstLine="0" w:firstLineChars="0"/>
              <w:jc w:val="center"/>
              <w:rPr>
                <w:rFonts w:ascii="仿宋_GB2312" w:hAnsi="仿宋_GB2312" w:cs="仿宋_GB2312"/>
                <w:color w:val="auto"/>
                <w:sz w:val="24"/>
                <w:szCs w:val="22"/>
              </w:rPr>
            </w:pPr>
          </w:p>
        </w:tc>
        <w:tc>
          <w:tcPr>
            <w:tcW w:w="3246"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left"/>
              <w:rPr>
                <w:rFonts w:ascii="仿宋_GB2312" w:hAnsi="仿宋_GB2312" w:cs="仿宋_GB2312"/>
                <w:color w:val="auto"/>
                <w:kern w:val="0"/>
                <w:sz w:val="24"/>
              </w:rPr>
            </w:pPr>
            <w:r>
              <w:rPr>
                <w:rFonts w:hint="eastAsia" w:ascii="仿宋_GB2312" w:hAnsi="仿宋_GB2312" w:cs="仿宋_GB2312"/>
                <w:color w:val="auto"/>
                <w:kern w:val="0"/>
                <w:sz w:val="24"/>
              </w:rPr>
              <w:t>省级及以上创业孵化载体</w:t>
            </w:r>
            <w:r>
              <w:rPr>
                <w:rFonts w:hint="eastAsia" w:ascii="仿宋_GB2312" w:hAnsi="仿宋_GB2312" w:cs="仿宋_GB2312"/>
                <w:color w:val="auto"/>
                <w:kern w:val="0"/>
                <w:sz w:val="24"/>
                <w:lang w:eastAsia="zh-Hans"/>
              </w:rPr>
              <w:t>数</w:t>
            </w:r>
            <w:r>
              <w:rPr>
                <w:rFonts w:hint="eastAsia" w:ascii="仿宋_GB2312" w:hAnsi="仿宋_GB2312" w:cs="仿宋_GB2312"/>
                <w:color w:val="auto"/>
                <w:kern w:val="0"/>
                <w:sz w:val="24"/>
              </w:rPr>
              <w:t>（家）</w:t>
            </w:r>
          </w:p>
        </w:tc>
        <w:tc>
          <w:tcPr>
            <w:tcW w:w="657"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center"/>
              <w:rPr>
                <w:rFonts w:ascii="仿宋_GB2312" w:hAnsi="仿宋_GB2312" w:cs="仿宋_GB2312"/>
                <w:color w:val="auto"/>
                <w:kern w:val="0"/>
                <w:sz w:val="24"/>
              </w:rPr>
            </w:pPr>
            <w:r>
              <w:rPr>
                <w:rFonts w:hint="eastAsia" w:ascii="仿宋_GB2312" w:hAnsi="仿宋_GB2312" w:cs="仿宋_GB2312"/>
                <w:color w:val="auto"/>
                <w:kern w:val="0"/>
                <w:sz w:val="24"/>
              </w:rPr>
              <w:t>2</w:t>
            </w:r>
          </w:p>
        </w:tc>
        <w:tc>
          <w:tcPr>
            <w:tcW w:w="644"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center"/>
              <w:rPr>
                <w:rFonts w:ascii="仿宋_GB2312" w:hAnsi="仿宋_GB2312" w:cs="仿宋_GB2312"/>
                <w:color w:val="auto"/>
                <w:kern w:val="0"/>
                <w:sz w:val="24"/>
              </w:rPr>
            </w:pPr>
            <w:r>
              <w:rPr>
                <w:rFonts w:hint="eastAsia" w:ascii="仿宋_GB2312" w:hAnsi="仿宋_GB2312" w:cs="仿宋_GB2312"/>
                <w:color w:val="auto"/>
                <w:kern w:val="0"/>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53" w:type="pct"/>
            <w:shd w:val="clear" w:color="auto" w:fill="auto"/>
            <w:tcMar>
              <w:top w:w="15" w:type="dxa"/>
              <w:left w:w="71" w:type="dxa"/>
              <w:bottom w:w="0" w:type="dxa"/>
              <w:right w:w="71" w:type="dxa"/>
            </w:tcMar>
            <w:vAlign w:val="center"/>
          </w:tcPr>
          <w:p>
            <w:pPr>
              <w:widowControl/>
              <w:numPr>
                <w:ilvl w:val="0"/>
                <w:numId w:val="1"/>
              </w:numPr>
              <w:adjustRightInd w:val="0"/>
              <w:snapToGrid w:val="0"/>
              <w:spacing w:line="360" w:lineRule="auto"/>
              <w:ind w:left="0" w:firstLine="0" w:firstLineChars="0"/>
              <w:jc w:val="center"/>
              <w:rPr>
                <w:rFonts w:ascii="仿宋_GB2312" w:hAnsi="仿宋_GB2312" w:cs="仿宋_GB2312"/>
                <w:color w:val="auto"/>
                <w:sz w:val="24"/>
                <w:szCs w:val="22"/>
              </w:rPr>
            </w:pPr>
          </w:p>
        </w:tc>
        <w:tc>
          <w:tcPr>
            <w:tcW w:w="3246"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left"/>
              <w:rPr>
                <w:rFonts w:ascii="仿宋_GB2312" w:hAnsi="仿宋_GB2312" w:cs="仿宋_GB2312"/>
                <w:color w:val="auto"/>
                <w:kern w:val="0"/>
                <w:sz w:val="24"/>
              </w:rPr>
            </w:pPr>
            <w:r>
              <w:rPr>
                <w:rFonts w:hint="eastAsia" w:ascii="仿宋_GB2312" w:hAnsi="仿宋_GB2312" w:cs="仿宋_GB2312"/>
                <w:color w:val="auto"/>
                <w:kern w:val="0"/>
                <w:sz w:val="24"/>
              </w:rPr>
              <w:t>高新技术企业数（家）</w:t>
            </w:r>
          </w:p>
        </w:tc>
        <w:tc>
          <w:tcPr>
            <w:tcW w:w="657"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center"/>
              <w:rPr>
                <w:rFonts w:ascii="仿宋_GB2312" w:hAnsi="仿宋_GB2312" w:cs="仿宋_GB2312"/>
                <w:color w:val="auto"/>
                <w:kern w:val="0"/>
                <w:sz w:val="24"/>
              </w:rPr>
            </w:pPr>
            <w:r>
              <w:rPr>
                <w:rFonts w:hint="eastAsia" w:ascii="仿宋_GB2312" w:hAnsi="仿宋_GB2312" w:cs="仿宋_GB2312"/>
                <w:color w:val="auto"/>
                <w:sz w:val="24"/>
              </w:rPr>
              <w:t>331</w:t>
            </w:r>
          </w:p>
        </w:tc>
        <w:tc>
          <w:tcPr>
            <w:tcW w:w="644"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center"/>
              <w:rPr>
                <w:rFonts w:ascii="仿宋_GB2312" w:hAnsi="仿宋_GB2312" w:cs="仿宋_GB2312"/>
                <w:color w:val="auto"/>
                <w:kern w:val="0"/>
                <w:sz w:val="24"/>
              </w:rPr>
            </w:pPr>
            <w:r>
              <w:rPr>
                <w:rFonts w:hint="eastAsia" w:ascii="仿宋_GB2312" w:hAnsi="仿宋_GB2312" w:cs="仿宋_GB2312"/>
                <w:color w:val="auto"/>
                <w:kern w:val="0"/>
                <w:sz w:val="24"/>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53" w:type="pct"/>
            <w:shd w:val="clear" w:color="auto" w:fill="auto"/>
            <w:tcMar>
              <w:top w:w="15" w:type="dxa"/>
              <w:left w:w="71" w:type="dxa"/>
              <w:bottom w:w="0" w:type="dxa"/>
              <w:right w:w="71" w:type="dxa"/>
            </w:tcMar>
            <w:vAlign w:val="center"/>
          </w:tcPr>
          <w:p>
            <w:pPr>
              <w:widowControl/>
              <w:numPr>
                <w:ilvl w:val="0"/>
                <w:numId w:val="1"/>
              </w:numPr>
              <w:adjustRightInd w:val="0"/>
              <w:snapToGrid w:val="0"/>
              <w:spacing w:line="360" w:lineRule="auto"/>
              <w:ind w:left="0" w:firstLine="0" w:firstLineChars="0"/>
              <w:jc w:val="center"/>
              <w:rPr>
                <w:rFonts w:ascii="仿宋_GB2312" w:hAnsi="仿宋_GB2312" w:cs="仿宋_GB2312"/>
                <w:color w:val="auto"/>
                <w:sz w:val="24"/>
                <w:szCs w:val="22"/>
              </w:rPr>
            </w:pPr>
          </w:p>
        </w:tc>
        <w:tc>
          <w:tcPr>
            <w:tcW w:w="3246"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left"/>
              <w:rPr>
                <w:rFonts w:ascii="仿宋_GB2312" w:hAnsi="仿宋_GB2312" w:cs="仿宋_GB2312"/>
                <w:color w:val="auto"/>
                <w:kern w:val="0"/>
                <w:sz w:val="24"/>
              </w:rPr>
            </w:pPr>
            <w:r>
              <w:rPr>
                <w:rFonts w:hint="eastAsia" w:ascii="仿宋_GB2312" w:hAnsi="仿宋_GB2312" w:cs="仿宋_GB2312"/>
                <w:color w:val="auto"/>
                <w:kern w:val="0"/>
                <w:sz w:val="24"/>
              </w:rPr>
              <w:t>独角兽企业数（家）</w:t>
            </w:r>
          </w:p>
        </w:tc>
        <w:tc>
          <w:tcPr>
            <w:tcW w:w="657"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center"/>
              <w:rPr>
                <w:rFonts w:ascii="仿宋_GB2312" w:hAnsi="仿宋_GB2312" w:cs="仿宋_GB2312"/>
                <w:color w:val="auto"/>
                <w:kern w:val="0"/>
                <w:sz w:val="24"/>
              </w:rPr>
            </w:pPr>
            <w:r>
              <w:rPr>
                <w:rFonts w:hint="eastAsia" w:ascii="仿宋_GB2312" w:hAnsi="仿宋_GB2312" w:cs="仿宋_GB2312"/>
                <w:color w:val="auto"/>
                <w:sz w:val="24"/>
              </w:rPr>
              <w:t>1</w:t>
            </w:r>
          </w:p>
        </w:tc>
        <w:tc>
          <w:tcPr>
            <w:tcW w:w="644"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center"/>
              <w:rPr>
                <w:rFonts w:ascii="仿宋_GB2312" w:hAnsi="仿宋_GB2312" w:cs="仿宋_GB2312"/>
                <w:color w:val="auto"/>
                <w:kern w:val="0"/>
                <w:sz w:val="24"/>
              </w:rPr>
            </w:pPr>
            <w:r>
              <w:rPr>
                <w:rFonts w:hint="eastAsia" w:ascii="仿宋_GB2312" w:hAnsi="仿宋_GB2312" w:cs="仿宋_GB2312"/>
                <w:color w:val="auto"/>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53" w:type="pct"/>
            <w:shd w:val="clear" w:color="auto" w:fill="auto"/>
            <w:tcMar>
              <w:top w:w="15" w:type="dxa"/>
              <w:left w:w="71" w:type="dxa"/>
              <w:bottom w:w="0" w:type="dxa"/>
              <w:right w:w="71" w:type="dxa"/>
            </w:tcMar>
            <w:vAlign w:val="center"/>
          </w:tcPr>
          <w:p>
            <w:pPr>
              <w:widowControl/>
              <w:numPr>
                <w:ilvl w:val="0"/>
                <w:numId w:val="1"/>
              </w:numPr>
              <w:adjustRightInd w:val="0"/>
              <w:snapToGrid w:val="0"/>
              <w:spacing w:line="360" w:lineRule="auto"/>
              <w:ind w:left="0" w:firstLine="0" w:firstLineChars="0"/>
              <w:jc w:val="center"/>
              <w:rPr>
                <w:rFonts w:ascii="仿宋_GB2312" w:hAnsi="仿宋_GB2312" w:cs="仿宋_GB2312"/>
                <w:color w:val="auto"/>
                <w:kern w:val="0"/>
                <w:sz w:val="24"/>
                <w:szCs w:val="22"/>
              </w:rPr>
            </w:pPr>
          </w:p>
        </w:tc>
        <w:tc>
          <w:tcPr>
            <w:tcW w:w="3246"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left"/>
              <w:rPr>
                <w:rFonts w:ascii="仿宋_GB2312" w:hAnsi="仿宋_GB2312" w:cs="仿宋_GB2312"/>
                <w:color w:val="auto"/>
                <w:kern w:val="0"/>
                <w:sz w:val="24"/>
              </w:rPr>
            </w:pPr>
            <w:r>
              <w:rPr>
                <w:rFonts w:hint="eastAsia" w:ascii="仿宋_GB2312" w:hAnsi="仿宋_GB2312" w:cs="仿宋_GB2312"/>
                <w:color w:val="auto"/>
                <w:kern w:val="0"/>
                <w:sz w:val="24"/>
              </w:rPr>
              <w:t>每万人口高价值发明专利拥有量（件）</w:t>
            </w:r>
          </w:p>
        </w:tc>
        <w:tc>
          <w:tcPr>
            <w:tcW w:w="657"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center"/>
              <w:rPr>
                <w:rFonts w:ascii="仿宋_GB2312" w:hAnsi="仿宋_GB2312" w:cs="仿宋_GB2312"/>
                <w:color w:val="auto"/>
                <w:kern w:val="0"/>
                <w:sz w:val="24"/>
              </w:rPr>
            </w:pPr>
            <w:r>
              <w:rPr>
                <w:rFonts w:hint="eastAsia" w:ascii="仿宋_GB2312" w:hAnsi="仿宋_GB2312" w:cs="仿宋_GB2312"/>
                <w:color w:val="auto"/>
                <w:kern w:val="0"/>
                <w:sz w:val="24"/>
              </w:rPr>
              <w:t>/</w:t>
            </w:r>
          </w:p>
        </w:tc>
        <w:tc>
          <w:tcPr>
            <w:tcW w:w="644"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center"/>
              <w:rPr>
                <w:rFonts w:ascii="仿宋_GB2312" w:hAnsi="仿宋_GB2312" w:cs="仿宋_GB2312"/>
                <w:color w:val="auto"/>
                <w:kern w:val="0"/>
                <w:sz w:val="24"/>
              </w:rPr>
            </w:pPr>
            <w:r>
              <w:rPr>
                <w:rFonts w:hint="eastAsia" w:ascii="仿宋_GB2312" w:hAnsi="仿宋_GB2312" w:cs="仿宋_GB2312"/>
                <w:color w:val="auto"/>
                <w:kern w:val="0"/>
                <w:sz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53" w:type="pct"/>
            <w:shd w:val="clear" w:color="auto" w:fill="auto"/>
            <w:tcMar>
              <w:top w:w="15" w:type="dxa"/>
              <w:left w:w="71" w:type="dxa"/>
              <w:bottom w:w="0" w:type="dxa"/>
              <w:right w:w="71" w:type="dxa"/>
            </w:tcMar>
            <w:vAlign w:val="center"/>
          </w:tcPr>
          <w:p>
            <w:pPr>
              <w:widowControl/>
              <w:numPr>
                <w:ilvl w:val="0"/>
                <w:numId w:val="1"/>
              </w:numPr>
              <w:adjustRightInd w:val="0"/>
              <w:snapToGrid w:val="0"/>
              <w:spacing w:line="360" w:lineRule="auto"/>
              <w:ind w:left="0" w:firstLine="0" w:firstLineChars="0"/>
              <w:jc w:val="center"/>
              <w:rPr>
                <w:rFonts w:ascii="仿宋_GB2312" w:hAnsi="仿宋_GB2312" w:cs="仿宋_GB2312"/>
                <w:color w:val="auto"/>
                <w:kern w:val="0"/>
                <w:sz w:val="24"/>
                <w:szCs w:val="22"/>
              </w:rPr>
            </w:pPr>
          </w:p>
        </w:tc>
        <w:tc>
          <w:tcPr>
            <w:tcW w:w="3246"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left"/>
              <w:rPr>
                <w:rFonts w:ascii="仿宋_GB2312" w:hAnsi="仿宋_GB2312" w:cs="仿宋_GB2312"/>
                <w:color w:val="auto"/>
                <w:sz w:val="24"/>
              </w:rPr>
            </w:pPr>
            <w:bookmarkStart w:id="109" w:name="_Hlk106283446"/>
            <w:r>
              <w:rPr>
                <w:rFonts w:hint="eastAsia" w:ascii="仿宋_GB2312" w:hAnsi="仿宋_GB2312" w:cs="仿宋_GB2312"/>
                <w:color w:val="auto"/>
                <w:sz w:val="24"/>
              </w:rPr>
              <w:t>技术市场成交合同额增速</w:t>
            </w:r>
            <w:bookmarkEnd w:id="109"/>
            <w:r>
              <w:rPr>
                <w:rFonts w:hint="eastAsia" w:ascii="仿宋_GB2312" w:hAnsi="仿宋_GB2312" w:cs="仿宋_GB2312"/>
                <w:color w:val="auto"/>
                <w:sz w:val="24"/>
              </w:rPr>
              <w:t>（%）</w:t>
            </w:r>
          </w:p>
        </w:tc>
        <w:tc>
          <w:tcPr>
            <w:tcW w:w="657"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center"/>
              <w:rPr>
                <w:rFonts w:ascii="仿宋_GB2312" w:hAnsi="仿宋_GB2312" w:cs="仿宋_GB2312"/>
                <w:color w:val="auto"/>
                <w:kern w:val="0"/>
                <w:sz w:val="24"/>
              </w:rPr>
            </w:pPr>
            <w:r>
              <w:rPr>
                <w:rFonts w:hint="eastAsia" w:ascii="仿宋_GB2312" w:hAnsi="仿宋_GB2312" w:cs="仿宋_GB2312"/>
                <w:color w:val="auto"/>
                <w:kern w:val="0"/>
                <w:sz w:val="24"/>
              </w:rPr>
              <w:t>/</w:t>
            </w:r>
          </w:p>
        </w:tc>
        <w:tc>
          <w:tcPr>
            <w:tcW w:w="644" w:type="pct"/>
            <w:shd w:val="clear" w:color="auto" w:fill="auto"/>
            <w:tcMar>
              <w:top w:w="15" w:type="dxa"/>
              <w:left w:w="71" w:type="dxa"/>
              <w:bottom w:w="0" w:type="dxa"/>
              <w:right w:w="71" w:type="dxa"/>
            </w:tcMar>
            <w:vAlign w:val="center"/>
          </w:tcPr>
          <w:p>
            <w:pPr>
              <w:widowControl/>
              <w:adjustRightInd w:val="0"/>
              <w:snapToGrid w:val="0"/>
              <w:spacing w:line="360" w:lineRule="auto"/>
              <w:ind w:firstLine="0" w:firstLineChars="0"/>
              <w:jc w:val="center"/>
              <w:rPr>
                <w:rFonts w:ascii="仿宋_GB2312" w:hAnsi="仿宋_GB2312" w:cs="仿宋_GB2312"/>
                <w:color w:val="auto"/>
                <w:kern w:val="0"/>
                <w:sz w:val="24"/>
              </w:rPr>
            </w:pPr>
            <w:r>
              <w:rPr>
                <w:rFonts w:hint="eastAsia" w:ascii="仿宋_GB2312" w:hAnsi="仿宋_GB2312" w:cs="仿宋_GB2312"/>
                <w:color w:val="auto"/>
                <w:kern w:val="0"/>
                <w:sz w:val="24"/>
              </w:rPr>
              <w:t>＞20</w:t>
            </w:r>
          </w:p>
        </w:tc>
      </w:tr>
    </w:tbl>
    <w:p>
      <w:pPr>
        <w:adjustRightInd w:val="0"/>
        <w:snapToGrid w:val="0"/>
        <w:spacing w:line="360" w:lineRule="auto"/>
        <w:ind w:firstLine="640"/>
        <w:rPr>
          <w:rFonts w:ascii="仿宋_GB2312" w:hAnsi="黑体" w:cs="Times New Roman"/>
          <w:bCs/>
          <w:color w:val="auto"/>
          <w:szCs w:val="32"/>
        </w:rPr>
      </w:pPr>
    </w:p>
    <w:p>
      <w:pPr>
        <w:adjustRightInd w:val="0"/>
        <w:snapToGrid w:val="0"/>
        <w:spacing w:line="360" w:lineRule="auto"/>
        <w:ind w:firstLine="640"/>
        <w:rPr>
          <w:color w:val="auto"/>
        </w:rPr>
      </w:pPr>
      <w:r>
        <w:rPr>
          <w:rFonts w:hint="eastAsia" w:ascii="仿宋_GB2312" w:hAnsi="黑体" w:cs="Times New Roman"/>
          <w:bCs/>
          <w:color w:val="auto"/>
          <w:szCs w:val="32"/>
        </w:rPr>
        <w:t>展望2035年，万亿级车谷产业创新大走廊全面建成，形成主导产业量质并举、新产业新赛道迸发突破的发展局面，产业关键核心技术、前沿引领技术和颠覆性技术不断涌现，集聚一批具有世界影响力的头部企业，创新创业主体大量积聚，创新发展环境不断完善，成为全国经济技术开发区创新驱动发展的典范和全球有广泛知名度的产业创新高地。</w:t>
      </w:r>
      <w:bookmarkStart w:id="110" w:name="_Toc24710"/>
      <w:bookmarkStart w:id="111" w:name="_Toc16988"/>
      <w:bookmarkStart w:id="112" w:name="_Toc3306"/>
      <w:bookmarkStart w:id="113" w:name="_Toc26025"/>
      <w:bookmarkStart w:id="114" w:name="_Toc23196"/>
      <w:bookmarkStart w:id="115" w:name="_Toc22760"/>
      <w:bookmarkStart w:id="116" w:name="_Toc9511"/>
      <w:bookmarkStart w:id="117" w:name="_Toc10569"/>
      <w:bookmarkStart w:id="118" w:name="_Toc14945"/>
      <w:bookmarkStart w:id="119" w:name="_Toc21013"/>
      <w:bookmarkStart w:id="120" w:name="_Toc31195"/>
      <w:bookmarkStart w:id="121" w:name="_Toc14059"/>
    </w:p>
    <w:p>
      <w:pPr>
        <w:autoSpaceDE w:val="0"/>
        <w:autoSpaceDN w:val="0"/>
        <w:adjustRightInd w:val="0"/>
        <w:snapToGrid w:val="0"/>
        <w:spacing w:line="360" w:lineRule="auto"/>
        <w:ind w:firstLine="643"/>
        <w:outlineLvl w:val="0"/>
        <w:rPr>
          <w:rFonts w:ascii="黑体" w:hAnsi="黑体" w:eastAsia="黑体" w:cs="Times New Roman"/>
          <w:b/>
          <w:color w:val="auto"/>
          <w:szCs w:val="32"/>
        </w:rPr>
      </w:pPr>
      <w:bookmarkStart w:id="122" w:name="_Toc5877"/>
      <w:r>
        <w:rPr>
          <w:rFonts w:hint="eastAsia" w:ascii="黑体" w:hAnsi="黑体" w:eastAsia="黑体" w:cs="Times New Roman"/>
          <w:b/>
          <w:color w:val="auto"/>
          <w:szCs w:val="32"/>
        </w:rPr>
        <w:t>三、以科技创新引领建设</w:t>
      </w:r>
      <w:bookmarkEnd w:id="110"/>
      <w:bookmarkEnd w:id="111"/>
      <w:bookmarkEnd w:id="112"/>
      <w:r>
        <w:rPr>
          <w:rFonts w:hint="eastAsia" w:ascii="黑体" w:hAnsi="黑体" w:eastAsia="黑体" w:cs="Times New Roman"/>
          <w:b/>
          <w:color w:val="auto"/>
          <w:szCs w:val="32"/>
        </w:rPr>
        <w:t>车谷产业创新大走廊</w:t>
      </w:r>
      <w:bookmarkEnd w:id="122"/>
    </w:p>
    <w:p>
      <w:pPr>
        <w:adjustRightInd w:val="0"/>
        <w:snapToGrid w:val="0"/>
        <w:spacing w:line="360" w:lineRule="auto"/>
        <w:ind w:firstLine="640"/>
        <w:rPr>
          <w:color w:val="auto"/>
          <w:highlight w:val="yellow"/>
        </w:rPr>
      </w:pPr>
      <w:r>
        <w:rPr>
          <w:rFonts w:hint="eastAsia"/>
          <w:color w:val="auto"/>
        </w:rPr>
        <w:t>坚持“整体统筹、区域聚焦、协作联动”，优化创新空间布局，打造创新联动、开放合作的创新发展格局，全面支撑车谷产业创新大走廊建设。</w:t>
      </w:r>
    </w:p>
    <w:p>
      <w:pPr>
        <w:autoSpaceDE w:val="0"/>
        <w:autoSpaceDN w:val="0"/>
        <w:adjustRightInd w:val="0"/>
        <w:snapToGrid w:val="0"/>
        <w:spacing w:line="360" w:lineRule="auto"/>
        <w:ind w:firstLine="641"/>
        <w:outlineLvl w:val="1"/>
        <w:rPr>
          <w:rFonts w:ascii="华文中宋" w:hAnsi="华文中宋" w:eastAsia="华文中宋"/>
          <w:b/>
          <w:color w:val="auto"/>
          <w:szCs w:val="32"/>
        </w:rPr>
      </w:pPr>
      <w:bookmarkStart w:id="123" w:name="_Toc13052"/>
      <w:bookmarkStart w:id="124" w:name="_Toc9949"/>
      <w:bookmarkStart w:id="125" w:name="_Toc3259"/>
      <w:bookmarkStart w:id="126" w:name="_Toc529"/>
      <w:r>
        <w:rPr>
          <w:rFonts w:hint="eastAsia" w:ascii="华文中宋" w:hAnsi="华文中宋" w:eastAsia="华文中宋"/>
          <w:b/>
          <w:color w:val="auto"/>
          <w:szCs w:val="32"/>
        </w:rPr>
        <w:t>（一）构建“一核一轴两带多点”创新空间</w:t>
      </w:r>
      <w:bookmarkEnd w:id="123"/>
      <w:bookmarkEnd w:id="124"/>
    </w:p>
    <w:p>
      <w:pPr>
        <w:adjustRightInd w:val="0"/>
        <w:snapToGrid w:val="0"/>
        <w:spacing w:line="360" w:lineRule="auto"/>
        <w:ind w:firstLine="643"/>
        <w:outlineLvl w:val="2"/>
        <w:rPr>
          <w:rFonts w:ascii="楷体_GB2312" w:hAnsi="Times New Roman" w:eastAsia="楷体_GB2312" w:cs="Times New Roman"/>
          <w:b/>
          <w:color w:val="auto"/>
          <w:szCs w:val="32"/>
          <w:lang w:bidi="ar"/>
        </w:rPr>
      </w:pPr>
      <w:r>
        <w:rPr>
          <w:rFonts w:hint="eastAsia" w:ascii="楷体_GB2312" w:hAnsi="Times New Roman" w:eastAsia="楷体_GB2312" w:cs="Times New Roman"/>
          <w:b/>
          <w:color w:val="auto"/>
          <w:szCs w:val="32"/>
          <w:lang w:bidi="ar"/>
        </w:rPr>
        <w:t>1. 打造车谷创新核心区</w:t>
      </w:r>
    </w:p>
    <w:p>
      <w:pPr>
        <w:widowControl/>
        <w:adjustRightInd w:val="0"/>
        <w:snapToGrid w:val="0"/>
        <w:spacing w:line="360" w:lineRule="auto"/>
        <w:ind w:firstLine="640"/>
        <w:rPr>
          <w:rFonts w:ascii="方正书宋简体" w:hAnsi="Calibri" w:eastAsia="方正书宋简体" w:cs="Times New Roman"/>
          <w:color w:val="auto"/>
          <w:lang w:bidi="ar"/>
        </w:rPr>
      </w:pPr>
      <w:r>
        <w:rPr>
          <w:rFonts w:hint="eastAsia" w:ascii="仿宋_GB2312" w:hAnsi="Times New Roman" w:cs="Times New Roman"/>
          <w:color w:val="auto"/>
          <w:szCs w:val="32"/>
          <w:lang w:bidi="ar"/>
        </w:rPr>
        <w:t>加快建设经开新区·军山新城，打造科技感强、环境优美的创新核心载体。依托春笋，沿川江池建设车谷创新服务中心，主要承载研发创新、科技服务、政务服务等功能。规划建设军山科创区，布局一批重大创新平台、新型研发机构等科创类项目。沿长江打造中央活力区，布局路特斯全球总部、哈工大机器人华中总部及研究院等项目。</w:t>
      </w:r>
    </w:p>
    <w:p>
      <w:pPr>
        <w:adjustRightInd w:val="0"/>
        <w:snapToGrid w:val="0"/>
        <w:spacing w:line="360" w:lineRule="auto"/>
        <w:ind w:firstLine="643"/>
        <w:outlineLvl w:val="2"/>
        <w:rPr>
          <w:rFonts w:ascii="楷体_GB2312" w:hAnsi="Times New Roman" w:eastAsia="楷体_GB2312" w:cs="Times New Roman"/>
          <w:b/>
          <w:color w:val="auto"/>
          <w:szCs w:val="32"/>
          <w:lang w:bidi="ar"/>
        </w:rPr>
      </w:pPr>
      <w:r>
        <w:rPr>
          <w:rFonts w:hint="eastAsia" w:ascii="楷体_GB2312" w:hAnsi="Times New Roman" w:eastAsia="楷体_GB2312" w:cs="Times New Roman"/>
          <w:b/>
          <w:color w:val="auto"/>
          <w:szCs w:val="32"/>
          <w:lang w:bidi="ar"/>
        </w:rPr>
        <w:t>2. 打造车谷大道产业创新发展轴</w:t>
      </w:r>
    </w:p>
    <w:p>
      <w:pPr>
        <w:adjustRightInd w:val="0"/>
        <w:snapToGrid w:val="0"/>
        <w:spacing w:line="360" w:lineRule="auto"/>
        <w:ind w:firstLine="640"/>
        <w:rPr>
          <w:rFonts w:ascii="Times New Roman" w:hAnsi="Times New Roman" w:cs="Times New Roman"/>
          <w:color w:val="auto"/>
        </w:rPr>
      </w:pPr>
      <w:r>
        <w:rPr>
          <w:rFonts w:hint="eastAsia" w:ascii="Times New Roman" w:hAnsi="Times New Roman" w:cs="Times New Roman"/>
          <w:color w:val="auto"/>
        </w:rPr>
        <w:t>沿车谷大道打造产业创新发展轴，以车谷创新核心区为中心，西连蔡甸区常福工业园，东接江夏金港生产制造区，串联东风大道、沿江大道，加快落地一批重点创新平台和载体，</w:t>
      </w:r>
      <w:r>
        <w:rPr>
          <w:rFonts w:ascii="Times New Roman" w:hAnsi="Times New Roman" w:cs="Times New Roman"/>
          <w:color w:val="auto"/>
        </w:rPr>
        <w:t>促进创新链、人才链、资本链、产业链融合发展，</w:t>
      </w:r>
      <w:r>
        <w:rPr>
          <w:rFonts w:hint="eastAsia" w:ascii="Times New Roman" w:hAnsi="Times New Roman" w:cs="Times New Roman"/>
          <w:color w:val="auto"/>
        </w:rPr>
        <w:t>形成</w:t>
      </w:r>
      <w:r>
        <w:rPr>
          <w:rFonts w:ascii="Times New Roman" w:hAnsi="Times New Roman" w:cs="Times New Roman"/>
          <w:color w:val="auto"/>
        </w:rPr>
        <w:t>梯次联动的创新与产业布局，以点带面提升</w:t>
      </w:r>
      <w:r>
        <w:rPr>
          <w:rFonts w:hint="eastAsia" w:ascii="Times New Roman" w:hAnsi="Times New Roman" w:cs="Times New Roman"/>
          <w:color w:val="auto"/>
        </w:rPr>
        <w:t>区域</w:t>
      </w:r>
      <w:r>
        <w:rPr>
          <w:rFonts w:ascii="Times New Roman" w:hAnsi="Times New Roman" w:cs="Times New Roman"/>
          <w:color w:val="auto"/>
        </w:rPr>
        <w:t>协同创新水平，</w:t>
      </w:r>
      <w:r>
        <w:rPr>
          <w:rFonts w:hint="eastAsia" w:ascii="Times New Roman" w:hAnsi="Times New Roman" w:cs="Times New Roman"/>
          <w:color w:val="auto"/>
        </w:rPr>
        <w:t>形成集科技创新、企业孵化、产业发展于一体的创新功能主轴</w:t>
      </w:r>
      <w:r>
        <w:rPr>
          <w:rFonts w:ascii="Times New Roman" w:hAnsi="Times New Roman" w:cs="Times New Roman"/>
          <w:color w:val="auto"/>
        </w:rPr>
        <w:t>。</w:t>
      </w:r>
    </w:p>
    <w:p>
      <w:pPr>
        <w:adjustRightInd w:val="0"/>
        <w:snapToGrid w:val="0"/>
        <w:spacing w:line="360" w:lineRule="auto"/>
        <w:ind w:firstLine="643"/>
        <w:outlineLvl w:val="2"/>
        <w:rPr>
          <w:rFonts w:ascii="楷体_GB2312" w:hAnsi="Times New Roman" w:eastAsia="楷体_GB2312" w:cs="Times New Roman"/>
          <w:b/>
          <w:color w:val="auto"/>
          <w:szCs w:val="32"/>
          <w:lang w:bidi="ar"/>
        </w:rPr>
      </w:pPr>
      <w:r>
        <w:rPr>
          <w:rFonts w:hint="eastAsia" w:ascii="楷体_GB2312" w:hAnsi="Times New Roman" w:eastAsia="楷体_GB2312" w:cs="Times New Roman"/>
          <w:b/>
          <w:color w:val="auto"/>
          <w:szCs w:val="32"/>
          <w:lang w:bidi="ar"/>
        </w:rPr>
        <w:t>3. 打造智能制造创新带、新兴产业创新带</w:t>
      </w:r>
    </w:p>
    <w:p>
      <w:pPr>
        <w:adjustRightInd w:val="0"/>
        <w:snapToGrid w:val="0"/>
        <w:spacing w:line="360" w:lineRule="auto"/>
        <w:ind w:firstLine="640"/>
        <w:rPr>
          <w:rFonts w:ascii="Times New Roman" w:hAnsi="Times New Roman" w:cs="Times New Roman"/>
          <w:color w:val="auto"/>
          <w:lang w:bidi="ar"/>
        </w:rPr>
      </w:pPr>
      <w:r>
        <w:rPr>
          <w:rFonts w:hint="eastAsia" w:ascii="Times New Roman" w:hAnsi="Times New Roman" w:cs="Times New Roman"/>
          <w:color w:val="auto"/>
          <w:lang w:bidi="ar"/>
        </w:rPr>
        <w:t>沿东风大道打造智能制造创新带，东起商务城，自东向西斜穿先进制造业园区，依托东风公司、美的、格力、可口可乐等龙头企业，推动汽车制造、电子电器、食品饮料等制造业智能化升级，形成以智能制造为特色的优势产业创新带。沿长江左岸打造新兴产业创新带，北起商务城，沿江向南延伸至现代科技农业产业园，沿线布局小鹏汽车、中创新航、</w:t>
      </w:r>
      <w:r>
        <w:rPr>
          <w:rFonts w:ascii="Times New Roman" w:hAnsi="Times New Roman" w:cs="Times New Roman"/>
          <w:color w:val="auto"/>
        </w:rPr>
        <w:t>智能集装化无人运输机产业基地</w:t>
      </w:r>
      <w:r>
        <w:rPr>
          <w:rFonts w:hint="eastAsia" w:ascii="Times New Roman" w:hAnsi="Times New Roman" w:cs="Times New Roman"/>
          <w:color w:val="auto"/>
          <w:lang w:bidi="ar"/>
        </w:rPr>
        <w:t>等创新项目，推动新能源与智能网联汽车、新能源、新材料、通用航空等新兴产业创新发展，形成科技属性强、绿色低碳的新兴产业培育带。</w:t>
      </w:r>
    </w:p>
    <w:p>
      <w:pPr>
        <w:adjustRightInd w:val="0"/>
        <w:snapToGrid w:val="0"/>
        <w:spacing w:line="360" w:lineRule="auto"/>
        <w:ind w:firstLine="0" w:firstLineChars="0"/>
        <w:jc w:val="center"/>
        <w:rPr>
          <w:rFonts w:ascii="Times New Roman" w:hAnsi="Times New Roman" w:cs="Times New Roman"/>
          <w:color w:val="auto"/>
        </w:rPr>
      </w:pPr>
      <w:r>
        <w:drawing>
          <wp:inline distT="0" distB="0" distL="0" distR="0">
            <wp:extent cx="4720590" cy="4758690"/>
            <wp:effectExtent l="0" t="0" r="0" b="381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7"/>
                    <a:srcRect r="10505"/>
                    <a:stretch>
                      <a:fillRect/>
                    </a:stretch>
                  </pic:blipFill>
                  <pic:spPr>
                    <a:xfrm>
                      <a:off x="0" y="0"/>
                      <a:ext cx="4720281" cy="4758690"/>
                    </a:xfrm>
                    <a:prstGeom prst="rect">
                      <a:avLst/>
                    </a:prstGeom>
                    <a:ln>
                      <a:noFill/>
                    </a:ln>
                  </pic:spPr>
                </pic:pic>
              </a:graphicData>
            </a:graphic>
          </wp:inline>
        </w:drawing>
      </w:r>
    </w:p>
    <w:p>
      <w:pPr>
        <w:adjustRightInd w:val="0"/>
        <w:snapToGrid w:val="0"/>
        <w:spacing w:line="360" w:lineRule="auto"/>
        <w:ind w:firstLine="0" w:firstLineChars="0"/>
        <w:jc w:val="center"/>
        <w:outlineLvl w:val="3"/>
        <w:rPr>
          <w:rFonts w:ascii="宋体" w:hAnsi="宋体" w:eastAsia="宋体" w:cs="Times New Roman"/>
          <w:b/>
          <w:color w:val="auto"/>
          <w:sz w:val="28"/>
          <w:szCs w:val="32"/>
        </w:rPr>
      </w:pPr>
      <w:r>
        <w:rPr>
          <w:rFonts w:hint="eastAsia" w:ascii="宋体" w:hAnsi="宋体" w:eastAsia="宋体" w:cs="Times New Roman"/>
          <w:b/>
          <w:color w:val="auto"/>
          <w:sz w:val="28"/>
          <w:szCs w:val="32"/>
          <w:lang w:bidi="ar"/>
        </w:rPr>
        <w:t>图</w:t>
      </w:r>
      <w:r>
        <w:rPr>
          <w:rFonts w:ascii="宋体" w:hAnsi="宋体" w:eastAsia="宋体" w:cs="Times New Roman"/>
          <w:b/>
          <w:color w:val="auto"/>
          <w:sz w:val="28"/>
          <w:szCs w:val="32"/>
          <w:lang w:bidi="ar"/>
        </w:rPr>
        <w:t xml:space="preserve">1 </w:t>
      </w:r>
      <w:r>
        <w:rPr>
          <w:rFonts w:hint="eastAsia" w:ascii="宋体" w:hAnsi="宋体" w:eastAsia="宋体" w:cs="Times New Roman"/>
          <w:b/>
          <w:color w:val="auto"/>
          <w:sz w:val="28"/>
          <w:szCs w:val="32"/>
          <w:lang w:bidi="ar"/>
        </w:rPr>
        <w:t>武汉经开区创新空间格局</w:t>
      </w:r>
    </w:p>
    <w:p>
      <w:pPr>
        <w:ind w:firstLine="643"/>
        <w:rPr>
          <w:rFonts w:ascii="楷体_GB2312" w:hAnsi="Times New Roman" w:eastAsia="楷体_GB2312" w:cs="Times New Roman"/>
          <w:b/>
          <w:color w:val="auto"/>
          <w:szCs w:val="32"/>
          <w:lang w:bidi="ar"/>
        </w:rPr>
      </w:pPr>
      <w:bookmarkStart w:id="127" w:name="_Toc15043"/>
      <w:r>
        <w:rPr>
          <w:rFonts w:hint="eastAsia" w:ascii="楷体_GB2312" w:hAnsi="Times New Roman" w:eastAsia="楷体_GB2312" w:cs="Times New Roman"/>
          <w:b/>
          <w:color w:val="auto"/>
          <w:szCs w:val="32"/>
          <w:lang w:bidi="ar"/>
        </w:rPr>
        <w:br w:type="page"/>
      </w:r>
    </w:p>
    <w:p>
      <w:pPr>
        <w:adjustRightInd w:val="0"/>
        <w:snapToGrid w:val="0"/>
        <w:spacing w:line="360" w:lineRule="auto"/>
        <w:ind w:firstLine="643"/>
        <w:outlineLvl w:val="2"/>
        <w:rPr>
          <w:rFonts w:ascii="楷体_GB2312" w:hAnsi="Times New Roman" w:eastAsia="楷体_GB2312" w:cs="Times New Roman"/>
          <w:b/>
          <w:color w:val="auto"/>
          <w:szCs w:val="32"/>
          <w:lang w:bidi="ar"/>
        </w:rPr>
      </w:pPr>
      <w:r>
        <w:rPr>
          <w:rFonts w:hint="eastAsia" w:ascii="楷体_GB2312" w:hAnsi="Times New Roman" w:eastAsia="楷体_GB2312" w:cs="Times New Roman"/>
          <w:b/>
          <w:color w:val="auto"/>
          <w:szCs w:val="32"/>
          <w:lang w:bidi="ar"/>
        </w:rPr>
        <w:t>4</w:t>
      </w:r>
      <w:r>
        <w:rPr>
          <w:rFonts w:ascii="楷体_GB2312" w:hAnsi="Times New Roman" w:eastAsia="楷体_GB2312" w:cs="Times New Roman"/>
          <w:b/>
          <w:color w:val="auto"/>
          <w:szCs w:val="32"/>
          <w:lang w:bidi="ar"/>
        </w:rPr>
        <w:t xml:space="preserve">. </w:t>
      </w:r>
      <w:r>
        <w:rPr>
          <w:rFonts w:hint="eastAsia" w:ascii="楷体_GB2312" w:hAnsi="Times New Roman" w:eastAsia="楷体_GB2312" w:cs="Times New Roman"/>
          <w:b/>
          <w:color w:val="auto"/>
          <w:szCs w:val="32"/>
          <w:lang w:bidi="ar"/>
        </w:rPr>
        <w:t>加强创新街区（园区、楼宇）建设</w:t>
      </w:r>
      <w:bookmarkEnd w:id="125"/>
      <w:bookmarkEnd w:id="126"/>
      <w:bookmarkEnd w:id="127"/>
    </w:p>
    <w:p>
      <w:pPr>
        <w:adjustRightInd w:val="0"/>
        <w:snapToGrid w:val="0"/>
        <w:spacing w:line="360" w:lineRule="auto"/>
        <w:ind w:firstLine="640"/>
        <w:rPr>
          <w:color w:val="auto"/>
        </w:rPr>
      </w:pPr>
      <w:r>
        <w:rPr>
          <w:rFonts w:hint="eastAsia" w:ascii="仿宋_GB2312" w:hAnsi="Courier New" w:cs="Times New Roman"/>
          <w:color w:val="auto"/>
          <w:szCs w:val="32"/>
          <w:lang w:bidi="ar"/>
        </w:rPr>
        <w:t>加快建设南太子湖创新谷、春笋、华中智谷、人工智能科技园等创新载体，打造一批特色鲜明、功能完善的亮点区块。采用老旧工业园区</w:t>
      </w:r>
      <w:r>
        <w:rPr>
          <w:rFonts w:hint="eastAsia" w:ascii="Calibri" w:hAnsi="Calibri" w:cs="仿宋_GB2312"/>
          <w:color w:val="auto"/>
          <w:lang w:bidi="ar"/>
        </w:rPr>
        <w:t>改造等方式盘活创新发展空间</w:t>
      </w:r>
      <w:r>
        <w:rPr>
          <w:rFonts w:hint="eastAsia" w:ascii="仿宋_GB2312" w:hAnsi="Courier New" w:cs="Times New Roman"/>
          <w:color w:val="auto"/>
          <w:szCs w:val="32"/>
          <w:lang w:bidi="ar"/>
        </w:rPr>
        <w:t>，以东方工业园、沌阳民营工业园、鑫科工业园等为突破口，打造数字经济产业园、新材料产业园、氢能创新园等创新园区。盘活创思汇大厦、东合中心等商业楼宇资源，打造空间灵活、配套完善的创新楼宇。促进创新街区功能融合，完善街区功能业态，建设“15分钟生活圈”。到2025年，建成各类创新街区（园区、楼宇）20个以上。</w:t>
      </w:r>
    </w:p>
    <w:p>
      <w:pPr>
        <w:adjustRightInd w:val="0"/>
        <w:snapToGrid w:val="0"/>
        <w:spacing w:line="360" w:lineRule="auto"/>
        <w:ind w:firstLine="0" w:firstLineChars="0"/>
        <w:jc w:val="center"/>
        <w:outlineLvl w:val="3"/>
        <w:rPr>
          <w:rFonts w:ascii="仿宋_GB2312" w:hAnsi="仿宋_GB2312" w:cs="宋体"/>
          <w:b/>
          <w:color w:val="auto"/>
          <w:sz w:val="30"/>
          <w:szCs w:val="30"/>
        </w:rPr>
      </w:pPr>
      <w:r>
        <w:rPr>
          <w:rFonts w:hint="eastAsia" w:ascii="仿宋_GB2312" w:hAnsi="仿宋_GB2312" w:cs="宋体"/>
          <w:b/>
          <w:color w:val="auto"/>
          <w:sz w:val="30"/>
          <w:szCs w:val="30"/>
        </w:rPr>
        <w:t>专栏3</w:t>
      </w:r>
      <w:r>
        <w:rPr>
          <w:rFonts w:ascii="仿宋_GB2312" w:hAnsi="仿宋_GB2312" w:cs="宋体"/>
          <w:b/>
          <w:color w:val="auto"/>
          <w:sz w:val="30"/>
          <w:szCs w:val="30"/>
        </w:rPr>
        <w:t xml:space="preserve">-1 </w:t>
      </w:r>
      <w:r>
        <w:rPr>
          <w:rFonts w:hint="eastAsia" w:ascii="仿宋_GB2312" w:hAnsi="仿宋_GB2312" w:cs="宋体"/>
          <w:b/>
          <w:color w:val="auto"/>
          <w:sz w:val="30"/>
          <w:szCs w:val="30"/>
        </w:rPr>
        <w:t>打造南太子湖创新街区</w:t>
      </w:r>
    </w:p>
    <w:tbl>
      <w:tblPr>
        <w:tblStyle w:val="2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9"/>
              <w:adjustRightInd w:val="0"/>
              <w:snapToGrid w:val="0"/>
              <w:spacing w:line="360" w:lineRule="auto"/>
              <w:ind w:firstLine="562"/>
              <w:rPr>
                <w:rFonts w:ascii="仿宋_GB2312" w:hAnsi="仿宋_GB2312" w:eastAsia="仿宋_GB2312" w:cs="宋体"/>
                <w:bCs/>
                <w:color w:val="auto"/>
                <w:sz w:val="28"/>
                <w:szCs w:val="28"/>
              </w:rPr>
            </w:pPr>
            <w:r>
              <w:rPr>
                <w:rFonts w:hint="eastAsia" w:ascii="仿宋_GB2312" w:hAnsi="仿宋_GB2312" w:eastAsia="仿宋_GB2312" w:cs="宋体"/>
                <w:b/>
                <w:color w:val="auto"/>
                <w:sz w:val="28"/>
                <w:szCs w:val="28"/>
              </w:rPr>
              <w:t>区域范围：</w:t>
            </w:r>
            <w:r>
              <w:rPr>
                <w:rFonts w:hint="eastAsia" w:ascii="仿宋_GB2312" w:hAnsi="仿宋_GB2312" w:eastAsia="仿宋_GB2312" w:cs="宋体"/>
                <w:bCs/>
                <w:color w:val="auto"/>
                <w:sz w:val="28"/>
                <w:szCs w:val="28"/>
              </w:rPr>
              <w:t>位于经开区核心腹地，东临三环线，南至南太子湖，西接四环线，北连江汉大学。包含</w:t>
            </w:r>
            <w:r>
              <w:rPr>
                <w:rFonts w:ascii="仿宋_GB2312" w:hAnsi="仿宋_GB2312" w:eastAsia="仿宋_GB2312" w:cs="宋体"/>
                <w:bCs/>
                <w:color w:val="auto"/>
                <w:sz w:val="28"/>
                <w:szCs w:val="28"/>
              </w:rPr>
              <w:t>11个社区，1所高校（江汉大学），1</w:t>
            </w:r>
            <w:r>
              <w:rPr>
                <w:rFonts w:hint="eastAsia" w:ascii="仿宋_GB2312" w:hAnsi="仿宋_GB2312" w:eastAsia="仿宋_GB2312" w:cs="宋体"/>
                <w:bCs/>
                <w:color w:val="auto"/>
                <w:sz w:val="28"/>
                <w:szCs w:val="28"/>
              </w:rPr>
              <w:t>家</w:t>
            </w:r>
            <w:r>
              <w:rPr>
                <w:rFonts w:ascii="仿宋_GB2312" w:hAnsi="仿宋_GB2312" w:eastAsia="仿宋_GB2312" w:cs="宋体"/>
                <w:bCs/>
                <w:color w:val="auto"/>
                <w:sz w:val="28"/>
                <w:szCs w:val="28"/>
              </w:rPr>
              <w:t>医院（协和医院西院），7大园区（南太子</w:t>
            </w:r>
            <w:r>
              <w:rPr>
                <w:rFonts w:hint="eastAsia" w:ascii="仿宋_GB2312" w:hAnsi="仿宋_GB2312" w:eastAsia="仿宋_GB2312" w:cs="宋体"/>
                <w:bCs/>
                <w:color w:val="auto"/>
                <w:sz w:val="28"/>
                <w:szCs w:val="28"/>
              </w:rPr>
              <w:t>湖创谷、海尔武汉工业园，康明斯东亚研发中心，东合中心，同济现代医药科技产业园，华中智谷，人工智能产业园）。</w:t>
            </w:r>
          </w:p>
          <w:p>
            <w:pPr>
              <w:pStyle w:val="9"/>
              <w:adjustRightInd w:val="0"/>
              <w:snapToGrid w:val="0"/>
              <w:spacing w:line="360" w:lineRule="auto"/>
              <w:ind w:firstLine="562"/>
              <w:rPr>
                <w:rFonts w:ascii="仿宋_GB2312" w:hAnsi="仿宋_GB2312" w:eastAsia="仿宋_GB2312" w:cs="宋体"/>
                <w:bCs/>
                <w:color w:val="auto"/>
                <w:sz w:val="28"/>
                <w:szCs w:val="28"/>
              </w:rPr>
            </w:pPr>
            <w:r>
              <w:rPr>
                <w:rFonts w:hint="eastAsia" w:ascii="仿宋_GB2312" w:hAnsi="仿宋_GB2312" w:eastAsia="仿宋_GB2312" w:cs="宋体"/>
                <w:b/>
                <w:color w:val="auto"/>
                <w:sz w:val="28"/>
                <w:szCs w:val="28"/>
              </w:rPr>
              <w:t>建设方式：</w:t>
            </w:r>
            <w:r>
              <w:rPr>
                <w:rFonts w:hint="eastAsia" w:ascii="仿宋_GB2312" w:hAnsi="仿宋_GB2312" w:eastAsia="仿宋_GB2312" w:cs="宋体"/>
                <w:bCs/>
                <w:color w:val="auto"/>
                <w:sz w:val="28"/>
                <w:szCs w:val="28"/>
              </w:rPr>
              <w:t>由政府和企业合作投资，以南太子湖创新谷为核心，引导社会资本带动周边地块发展，同时辅以一定比例的高品质商业开发，完善城市功能配套。</w:t>
            </w:r>
          </w:p>
        </w:tc>
      </w:tr>
    </w:tbl>
    <w:p>
      <w:pPr>
        <w:autoSpaceDE w:val="0"/>
        <w:autoSpaceDN w:val="0"/>
        <w:adjustRightInd w:val="0"/>
        <w:snapToGrid w:val="0"/>
        <w:spacing w:before="217" w:beforeLines="50" w:line="360" w:lineRule="auto"/>
        <w:ind w:firstLine="641"/>
        <w:outlineLvl w:val="1"/>
        <w:rPr>
          <w:rFonts w:ascii="华文中宋" w:hAnsi="华文中宋" w:eastAsia="华文中宋"/>
          <w:b/>
          <w:color w:val="auto"/>
          <w:szCs w:val="32"/>
        </w:rPr>
      </w:pPr>
      <w:bookmarkStart w:id="128" w:name="_Toc24612"/>
      <w:bookmarkStart w:id="129" w:name="_Toc28675"/>
      <w:bookmarkStart w:id="130" w:name="_Toc29992"/>
      <w:bookmarkStart w:id="131" w:name="_Toc170"/>
      <w:r>
        <w:rPr>
          <w:rFonts w:hint="eastAsia" w:ascii="华文中宋" w:hAnsi="华文中宋" w:eastAsia="华文中宋"/>
          <w:b/>
          <w:color w:val="auto"/>
          <w:szCs w:val="32"/>
        </w:rPr>
        <w:t>（二）深入推进</w:t>
      </w:r>
      <w:bookmarkEnd w:id="128"/>
      <w:bookmarkEnd w:id="129"/>
      <w:bookmarkEnd w:id="130"/>
      <w:r>
        <w:rPr>
          <w:rFonts w:hint="eastAsia" w:ascii="华文中宋" w:hAnsi="华文中宋" w:eastAsia="华文中宋"/>
          <w:b/>
          <w:color w:val="auto"/>
          <w:szCs w:val="32"/>
        </w:rPr>
        <w:t>开放创新</w:t>
      </w:r>
      <w:bookmarkEnd w:id="131"/>
    </w:p>
    <w:p>
      <w:pPr>
        <w:adjustRightInd w:val="0"/>
        <w:snapToGrid w:val="0"/>
        <w:spacing w:line="360" w:lineRule="auto"/>
        <w:ind w:firstLine="643"/>
        <w:outlineLvl w:val="2"/>
        <w:rPr>
          <w:rFonts w:ascii="楷体_GB2312" w:hAnsi="Times New Roman" w:eastAsia="楷体_GB2312" w:cs="Times New Roman"/>
          <w:b/>
          <w:color w:val="auto"/>
          <w:szCs w:val="32"/>
        </w:rPr>
      </w:pPr>
      <w:r>
        <w:rPr>
          <w:rFonts w:hint="eastAsia" w:ascii="楷体_GB2312" w:hAnsi="Times New Roman" w:eastAsia="楷体_GB2312" w:cs="Times New Roman"/>
          <w:b/>
          <w:color w:val="auto"/>
          <w:szCs w:val="32"/>
        </w:rPr>
        <w:t>1.</w:t>
      </w:r>
      <w:r>
        <w:rPr>
          <w:rFonts w:ascii="楷体_GB2312" w:hAnsi="Times New Roman" w:eastAsia="楷体_GB2312" w:cs="Times New Roman"/>
          <w:b/>
          <w:color w:val="auto"/>
          <w:szCs w:val="32"/>
        </w:rPr>
        <w:t xml:space="preserve"> </w:t>
      </w:r>
      <w:r>
        <w:rPr>
          <w:rFonts w:hint="eastAsia" w:ascii="楷体_GB2312" w:hAnsi="Times New Roman" w:eastAsia="楷体_GB2312" w:cs="Times New Roman"/>
          <w:b/>
          <w:color w:val="auto"/>
          <w:szCs w:val="32"/>
        </w:rPr>
        <w:t>加强全省汽车产业走廊创新联动</w:t>
      </w:r>
    </w:p>
    <w:p>
      <w:pPr>
        <w:adjustRightInd w:val="0"/>
        <w:snapToGrid w:val="0"/>
        <w:spacing w:line="360" w:lineRule="auto"/>
        <w:ind w:firstLine="640"/>
        <w:rPr>
          <w:rFonts w:ascii="Calibri" w:hAnsi="Calibri" w:cs="仿宋_GB2312"/>
          <w:color w:val="auto"/>
          <w:lang w:bidi="ar"/>
        </w:rPr>
      </w:pPr>
      <w:r>
        <w:rPr>
          <w:rFonts w:hint="eastAsia" w:ascii="Calibri" w:hAnsi="Calibri" w:cs="仿宋_GB2312"/>
          <w:color w:val="auto"/>
          <w:lang w:bidi="ar"/>
        </w:rPr>
        <w:t>争取省市支持，加强车谷产业创新大走廊顶层设计。推动经开汉川经济协作区、经开南（洪湖新滩）共建区、岚图新能源汽车工业园等园区建设，辐射带动蔡甸、仙桃、天门、潜江、洪湖等地区创新发展，深入探索总部研发和重大项目在武汉经开区，生产转化和产业配套在周边的发展模式。加强与襄阳、十堰、随州、孝感等大走廊沿线地区汽车产业创新协同，通过产业创新平台和公共服务平台共建共享共用、联合开展汽车产业关键核心技术攻关、有序开放智能网联汽车示范道路等方式，共建万亿级汽车产业走廊。</w:t>
      </w:r>
    </w:p>
    <w:p>
      <w:pPr>
        <w:adjustRightInd w:val="0"/>
        <w:snapToGrid w:val="0"/>
        <w:spacing w:line="360" w:lineRule="auto"/>
        <w:ind w:firstLine="643"/>
        <w:outlineLvl w:val="2"/>
        <w:rPr>
          <w:rFonts w:ascii="楷体_GB2312" w:hAnsi="Times New Roman" w:eastAsia="楷体_GB2312" w:cs="Times New Roman"/>
          <w:b/>
          <w:color w:val="auto"/>
          <w:szCs w:val="32"/>
        </w:rPr>
      </w:pPr>
      <w:r>
        <w:rPr>
          <w:rFonts w:hint="eastAsia" w:ascii="楷体_GB2312" w:hAnsi="Times New Roman" w:eastAsia="楷体_GB2312" w:cs="Times New Roman"/>
          <w:b/>
          <w:color w:val="auto"/>
          <w:szCs w:val="32"/>
        </w:rPr>
        <w:t>2. 深化国内创新合作</w:t>
      </w:r>
    </w:p>
    <w:p>
      <w:pPr>
        <w:adjustRightInd w:val="0"/>
        <w:snapToGrid w:val="0"/>
        <w:spacing w:line="360" w:lineRule="auto"/>
        <w:ind w:firstLine="596"/>
        <w:rPr>
          <w:rFonts w:ascii="仿宋_GB2312" w:hAnsi="仿宋_GB2312" w:cs="仿宋_GB2312"/>
          <w:color w:val="auto"/>
          <w:spacing w:val="-11"/>
        </w:rPr>
      </w:pPr>
      <w:r>
        <w:rPr>
          <w:rFonts w:hint="eastAsia" w:ascii="仿宋_GB2312" w:hAnsi="Times New Roman" w:cs="Times New Roman"/>
          <w:color w:val="auto"/>
          <w:spacing w:val="-11"/>
          <w:szCs w:val="32"/>
          <w:lang w:bidi="ar"/>
        </w:rPr>
        <w:t>探索在北京、上海、广州、深圳等先进地区建设</w:t>
      </w:r>
      <w:r>
        <w:rPr>
          <w:rFonts w:hint="eastAsia" w:ascii="仿宋_GB2312" w:hAnsi="华文中宋" w:cs="仿宋_GB2312"/>
          <w:color w:val="auto"/>
          <w:spacing w:val="-11"/>
          <w:szCs w:val="32"/>
          <w:lang w:bidi="ar"/>
        </w:rPr>
        <w:t>车谷飞地创新园</w:t>
      </w:r>
      <w:r>
        <w:rPr>
          <w:rFonts w:hint="eastAsia" w:ascii="仿宋_GB2312" w:hAnsi="Times New Roman" w:cs="Times New Roman"/>
          <w:color w:val="auto"/>
          <w:spacing w:val="-11"/>
          <w:szCs w:val="32"/>
          <w:lang w:bidi="ar"/>
        </w:rPr>
        <w:t>，推动一批科技成果到武汉经开区落地转化。鼓励</w:t>
      </w:r>
      <w:r>
        <w:rPr>
          <w:rFonts w:hint="eastAsia" w:ascii="仿宋_GB2312" w:hAnsi="Calibri" w:cs="Times New Roman"/>
          <w:color w:val="auto"/>
          <w:spacing w:val="-11"/>
          <w:szCs w:val="32"/>
          <w:lang w:bidi="ar"/>
        </w:rPr>
        <w:t>区内</w:t>
      </w:r>
      <w:r>
        <w:rPr>
          <w:rFonts w:hint="eastAsia" w:ascii="仿宋_GB2312" w:hAnsi="Times New Roman" w:cs="Times New Roman"/>
          <w:color w:val="auto"/>
          <w:spacing w:val="-11"/>
          <w:szCs w:val="32"/>
          <w:lang w:bidi="ar"/>
        </w:rPr>
        <w:t>创业载体到先进地区设立异地孵化器，导入更多优质科技企业落户发展。</w:t>
      </w:r>
      <w:r>
        <w:rPr>
          <w:rFonts w:hint="eastAsia" w:ascii="仿宋_GB2312" w:hAnsi="华文中宋" w:cs="仿宋_GB2312"/>
          <w:color w:val="auto"/>
          <w:spacing w:val="-11"/>
          <w:szCs w:val="32"/>
          <w:lang w:bidi="ar"/>
        </w:rPr>
        <w:t>加强与长江经济带沿线地区的创新和产业协作，</w:t>
      </w:r>
      <w:r>
        <w:rPr>
          <w:rFonts w:hint="eastAsia" w:ascii="仿宋_GB2312" w:hAnsi="仿宋_GB2312" w:cs="仿宋_GB2312"/>
          <w:color w:val="auto"/>
          <w:spacing w:val="-11"/>
          <w:szCs w:val="32"/>
          <w:lang w:bidi="ar"/>
        </w:rPr>
        <w:t>共建一批研发设计、检验检测、技术转移、创业孵化等平台,推动创新资源共享共用。</w:t>
      </w:r>
    </w:p>
    <w:p>
      <w:pPr>
        <w:adjustRightInd w:val="0"/>
        <w:snapToGrid w:val="0"/>
        <w:spacing w:line="360" w:lineRule="auto"/>
        <w:ind w:firstLine="643"/>
        <w:outlineLvl w:val="2"/>
        <w:rPr>
          <w:rFonts w:ascii="楷体_GB2312" w:hAnsi="Times New Roman" w:eastAsia="楷体_GB2312" w:cs="Times New Roman"/>
          <w:b/>
          <w:color w:val="auto"/>
          <w:szCs w:val="32"/>
        </w:rPr>
      </w:pPr>
      <w:bookmarkStart w:id="132" w:name="_Toc3775"/>
      <w:bookmarkStart w:id="133" w:name="_Toc19767"/>
      <w:bookmarkStart w:id="134" w:name="_Toc26160"/>
      <w:r>
        <w:rPr>
          <w:rFonts w:hint="eastAsia" w:ascii="楷体_GB2312" w:hAnsi="Times New Roman" w:eastAsia="楷体_GB2312" w:cs="Times New Roman"/>
          <w:b/>
          <w:color w:val="auto"/>
          <w:szCs w:val="32"/>
        </w:rPr>
        <w:t xml:space="preserve">3. </w:t>
      </w:r>
      <w:bookmarkEnd w:id="132"/>
      <w:bookmarkEnd w:id="133"/>
      <w:bookmarkEnd w:id="134"/>
      <w:r>
        <w:rPr>
          <w:rFonts w:hint="eastAsia" w:ascii="楷体_GB2312" w:hAnsi="Times New Roman" w:eastAsia="楷体_GB2312" w:cs="Times New Roman"/>
          <w:b/>
          <w:color w:val="auto"/>
          <w:szCs w:val="32"/>
        </w:rPr>
        <w:t>融入全球创新网络</w:t>
      </w:r>
    </w:p>
    <w:p>
      <w:pPr>
        <w:adjustRightInd w:val="0"/>
        <w:snapToGrid w:val="0"/>
        <w:spacing w:line="360" w:lineRule="auto"/>
        <w:ind w:firstLine="640"/>
        <w:rPr>
          <w:rFonts w:ascii="Times New Roman" w:hAnsi="Times New Roman" w:cs="Times New Roman"/>
          <w:bCs/>
          <w:color w:val="auto"/>
          <w:szCs w:val="32"/>
        </w:rPr>
      </w:pPr>
      <w:r>
        <w:rPr>
          <w:rFonts w:ascii="Times New Roman" w:hAnsi="Times New Roman" w:cs="Times New Roman"/>
          <w:color w:val="auto"/>
          <w:szCs w:val="32"/>
        </w:rPr>
        <w:t>绘制</w:t>
      </w:r>
      <w:r>
        <w:rPr>
          <w:rFonts w:hint="eastAsia" w:ascii="Times New Roman" w:hAnsi="Times New Roman" w:cs="Times New Roman"/>
          <w:color w:val="auto"/>
          <w:szCs w:val="32"/>
        </w:rPr>
        <w:t>新能源与智能网联汽车</w:t>
      </w:r>
      <w:r>
        <w:rPr>
          <w:rFonts w:ascii="Times New Roman" w:hAnsi="Times New Roman" w:cs="Times New Roman"/>
          <w:color w:val="auto"/>
          <w:szCs w:val="32"/>
          <w:lang w:eastAsia="zh-Hans"/>
        </w:rPr>
        <w:t>、新能源、新材料等产业</w:t>
      </w:r>
      <w:r>
        <w:rPr>
          <w:rFonts w:ascii="Times New Roman" w:hAnsi="Times New Roman" w:cs="Times New Roman"/>
          <w:color w:val="auto"/>
          <w:szCs w:val="32"/>
        </w:rPr>
        <w:t>全球创新地图，</w:t>
      </w:r>
      <w:r>
        <w:rPr>
          <w:rFonts w:ascii="Times New Roman" w:hAnsi="Times New Roman" w:cs="Times New Roman"/>
          <w:color w:val="auto"/>
        </w:rPr>
        <w:t>大力引进世界500强</w:t>
      </w:r>
      <w:r>
        <w:rPr>
          <w:rFonts w:hint="eastAsia" w:ascii="Times New Roman" w:hAnsi="Times New Roman" w:cs="Times New Roman"/>
          <w:color w:val="auto"/>
        </w:rPr>
        <w:t>企业</w:t>
      </w:r>
      <w:r>
        <w:rPr>
          <w:rFonts w:ascii="Times New Roman" w:hAnsi="Times New Roman" w:cs="Times New Roman"/>
          <w:color w:val="auto"/>
        </w:rPr>
        <w:t>及研发</w:t>
      </w:r>
      <w:r>
        <w:rPr>
          <w:rFonts w:ascii="Times New Roman" w:hAnsi="Times New Roman" w:cs="Times New Roman"/>
          <w:color w:val="auto"/>
          <w:lang w:eastAsia="zh-Hans"/>
        </w:rPr>
        <w:t>机构</w:t>
      </w:r>
      <w:r>
        <w:rPr>
          <w:rFonts w:ascii="Times New Roman" w:hAnsi="Times New Roman" w:cs="Times New Roman"/>
          <w:color w:val="auto"/>
        </w:rPr>
        <w:t>。对接全球风投机构、孵化器等平台载体，引进一批高价值、高科技、高成长的</w:t>
      </w:r>
      <w:r>
        <w:rPr>
          <w:rFonts w:hint="eastAsia" w:ascii="Times New Roman" w:hAnsi="Times New Roman" w:cs="Times New Roman"/>
          <w:color w:val="auto"/>
        </w:rPr>
        <w:t>创新</w:t>
      </w:r>
      <w:r>
        <w:rPr>
          <w:rFonts w:ascii="Times New Roman" w:hAnsi="Times New Roman" w:cs="Times New Roman"/>
          <w:color w:val="auto"/>
        </w:rPr>
        <w:t>型企业和项目。充分发挥</w:t>
      </w:r>
      <w:r>
        <w:rPr>
          <w:rFonts w:hint="eastAsia" w:ascii="Times New Roman" w:hAnsi="Times New Roman" w:cs="Times New Roman"/>
          <w:color w:val="auto"/>
        </w:rPr>
        <w:t>综合保税区、汉南港一类口岸、汉南通航机场等</w:t>
      </w:r>
      <w:r>
        <w:rPr>
          <w:rFonts w:ascii="Times New Roman" w:hAnsi="Times New Roman" w:cs="Times New Roman"/>
          <w:color w:val="auto"/>
        </w:rPr>
        <w:t>作用，</w:t>
      </w:r>
      <w:r>
        <w:rPr>
          <w:rFonts w:hint="eastAsia" w:ascii="Times New Roman" w:hAnsi="Times New Roman" w:cs="Times New Roman"/>
          <w:color w:val="auto"/>
        </w:rPr>
        <w:t>鼓励创新</w:t>
      </w:r>
      <w:r>
        <w:rPr>
          <w:rFonts w:ascii="Times New Roman" w:hAnsi="Times New Roman" w:cs="Times New Roman"/>
          <w:color w:val="auto"/>
          <w:lang w:eastAsia="zh-Hans"/>
        </w:rPr>
        <w:t>型</w:t>
      </w:r>
      <w:r>
        <w:rPr>
          <w:rFonts w:ascii="Times New Roman" w:hAnsi="Times New Roman" w:cs="Times New Roman"/>
          <w:color w:val="auto"/>
        </w:rPr>
        <w:t>企业</w:t>
      </w:r>
      <w:r>
        <w:rPr>
          <w:rFonts w:ascii="Times New Roman" w:hAnsi="Times New Roman" w:cs="Times New Roman"/>
          <w:color w:val="auto"/>
          <w:lang w:eastAsia="zh-Hans"/>
        </w:rPr>
        <w:t>发展保税研发、</w:t>
      </w:r>
      <w:r>
        <w:rPr>
          <w:rFonts w:hint="eastAsia" w:ascii="Times New Roman" w:hAnsi="Times New Roman" w:cs="Times New Roman"/>
          <w:color w:val="auto"/>
        </w:rPr>
        <w:t>保税物流</w:t>
      </w:r>
      <w:r>
        <w:rPr>
          <w:rFonts w:ascii="Times New Roman" w:hAnsi="Times New Roman" w:cs="Times New Roman"/>
          <w:color w:val="auto"/>
          <w:lang w:eastAsia="zh-Hans"/>
        </w:rPr>
        <w:t>、跨境</w:t>
      </w:r>
      <w:r>
        <w:rPr>
          <w:rFonts w:hint="eastAsia" w:ascii="Times New Roman" w:hAnsi="Times New Roman" w:cs="Times New Roman"/>
          <w:color w:val="auto"/>
        </w:rPr>
        <w:t>电商</w:t>
      </w:r>
      <w:r>
        <w:rPr>
          <w:rFonts w:ascii="Times New Roman" w:hAnsi="Times New Roman" w:cs="Times New Roman"/>
          <w:color w:val="auto"/>
          <w:lang w:eastAsia="zh-Hans"/>
        </w:rPr>
        <w:t>等业态。</w:t>
      </w:r>
      <w:r>
        <w:rPr>
          <w:rFonts w:ascii="Times New Roman" w:hAnsi="Times New Roman" w:cs="Times New Roman"/>
          <w:color w:val="auto"/>
          <w:szCs w:val="32"/>
        </w:rPr>
        <w:t>鼓励</w:t>
      </w:r>
      <w:r>
        <w:rPr>
          <w:rFonts w:hint="eastAsia" w:ascii="Times New Roman" w:hAnsi="Times New Roman" w:cs="Times New Roman"/>
          <w:color w:val="auto"/>
          <w:szCs w:val="32"/>
        </w:rPr>
        <w:t>龙头企业</w:t>
      </w:r>
      <w:r>
        <w:rPr>
          <w:rFonts w:ascii="Times New Roman" w:hAnsi="Times New Roman" w:cs="Times New Roman"/>
          <w:color w:val="auto"/>
          <w:szCs w:val="32"/>
        </w:rPr>
        <w:t>建设海外研发中心、联合实验室等海外创新平台，通过合资研发</w:t>
      </w:r>
      <w:r>
        <w:rPr>
          <w:rFonts w:hint="eastAsia" w:ascii="Times New Roman" w:hAnsi="Times New Roman" w:cs="Times New Roman"/>
          <w:color w:val="auto"/>
          <w:szCs w:val="32"/>
        </w:rPr>
        <w:t>、</w:t>
      </w:r>
      <w:r>
        <w:rPr>
          <w:rFonts w:ascii="Times New Roman" w:hAnsi="Times New Roman" w:cs="Times New Roman"/>
          <w:color w:val="auto"/>
          <w:szCs w:val="32"/>
        </w:rPr>
        <w:t>技术引进</w:t>
      </w:r>
      <w:r>
        <w:rPr>
          <w:rFonts w:hint="eastAsia" w:ascii="Times New Roman" w:hAnsi="Times New Roman" w:cs="Times New Roman"/>
          <w:color w:val="auto"/>
          <w:szCs w:val="32"/>
        </w:rPr>
        <w:t>、</w:t>
      </w:r>
      <w:r>
        <w:rPr>
          <w:rFonts w:ascii="Times New Roman" w:hAnsi="Times New Roman" w:cs="Times New Roman"/>
          <w:color w:val="auto"/>
          <w:szCs w:val="32"/>
        </w:rPr>
        <w:t>合作开发等模式开展关键</w:t>
      </w:r>
      <w:r>
        <w:rPr>
          <w:rFonts w:hint="eastAsia" w:ascii="Times New Roman" w:hAnsi="Times New Roman" w:cs="Times New Roman"/>
          <w:color w:val="auto"/>
          <w:szCs w:val="32"/>
        </w:rPr>
        <w:t>核心</w:t>
      </w:r>
      <w:r>
        <w:rPr>
          <w:rFonts w:ascii="Times New Roman" w:hAnsi="Times New Roman" w:cs="Times New Roman"/>
          <w:color w:val="auto"/>
          <w:szCs w:val="32"/>
        </w:rPr>
        <w:t>技术攻关。</w:t>
      </w:r>
      <w:r>
        <w:rPr>
          <w:rFonts w:ascii="Times New Roman" w:hAnsi="Times New Roman" w:cs="Times New Roman"/>
          <w:bCs/>
          <w:color w:val="auto"/>
          <w:szCs w:val="32"/>
          <w:lang w:eastAsia="zh-Hans"/>
        </w:rPr>
        <w:t>推动</w:t>
      </w:r>
      <w:r>
        <w:rPr>
          <w:rFonts w:ascii="Times New Roman" w:hAnsi="Times New Roman" w:cs="Times New Roman"/>
          <w:bCs/>
          <w:color w:val="auto"/>
          <w:szCs w:val="32"/>
        </w:rPr>
        <w:t>与“一带一路”沿线国家</w:t>
      </w:r>
      <w:r>
        <w:rPr>
          <w:rFonts w:hint="eastAsia" w:ascii="Times New Roman" w:hAnsi="Times New Roman" w:cs="Times New Roman"/>
          <w:bCs/>
          <w:color w:val="auto"/>
          <w:szCs w:val="32"/>
        </w:rPr>
        <w:t>（</w:t>
      </w:r>
      <w:r>
        <w:rPr>
          <w:rFonts w:ascii="Times New Roman" w:hAnsi="Times New Roman" w:cs="Times New Roman"/>
          <w:bCs/>
          <w:color w:val="auto"/>
          <w:szCs w:val="32"/>
        </w:rPr>
        <w:t>地区</w:t>
      </w:r>
      <w:r>
        <w:rPr>
          <w:rFonts w:hint="eastAsia" w:ascii="Times New Roman" w:hAnsi="Times New Roman" w:cs="Times New Roman"/>
          <w:bCs/>
          <w:color w:val="auto"/>
          <w:szCs w:val="32"/>
        </w:rPr>
        <w:t>）</w:t>
      </w:r>
      <w:r>
        <w:rPr>
          <w:rFonts w:ascii="Times New Roman" w:hAnsi="Times New Roman" w:cs="Times New Roman"/>
          <w:bCs/>
          <w:color w:val="auto"/>
          <w:szCs w:val="32"/>
        </w:rPr>
        <w:t>共建科技合作园和创新基地。</w:t>
      </w:r>
    </w:p>
    <w:p>
      <w:pPr>
        <w:widowControl/>
        <w:ind w:firstLine="0" w:firstLineChars="0"/>
        <w:jc w:val="left"/>
        <w:rPr>
          <w:rFonts w:ascii="黑体" w:hAnsi="黑体" w:eastAsia="黑体" w:cs="Times New Roman"/>
          <w:b/>
          <w:color w:val="auto"/>
          <w:szCs w:val="32"/>
        </w:rPr>
      </w:pPr>
      <w:bookmarkStart w:id="135" w:name="_Toc6945"/>
      <w:r>
        <w:rPr>
          <w:rFonts w:ascii="黑体" w:hAnsi="黑体" w:eastAsia="黑体" w:cs="Times New Roman"/>
          <w:b/>
          <w:color w:val="auto"/>
          <w:szCs w:val="32"/>
        </w:rPr>
        <w:br w:type="page"/>
      </w:r>
    </w:p>
    <w:p>
      <w:pPr>
        <w:autoSpaceDE w:val="0"/>
        <w:autoSpaceDN w:val="0"/>
        <w:adjustRightInd w:val="0"/>
        <w:snapToGrid w:val="0"/>
        <w:spacing w:line="360" w:lineRule="auto"/>
        <w:ind w:firstLine="643"/>
        <w:outlineLvl w:val="0"/>
        <w:rPr>
          <w:rFonts w:ascii="黑体" w:hAnsi="黑体" w:eastAsia="黑体" w:cs="Times New Roman"/>
          <w:b/>
          <w:color w:val="auto"/>
          <w:szCs w:val="32"/>
        </w:rPr>
      </w:pPr>
      <w:r>
        <w:rPr>
          <w:rFonts w:hint="eastAsia" w:ascii="黑体" w:hAnsi="黑体" w:eastAsia="黑体" w:cs="Times New Roman"/>
          <w:b/>
          <w:color w:val="auto"/>
          <w:szCs w:val="32"/>
        </w:rPr>
        <w:t>四、</w:t>
      </w:r>
      <w:bookmarkEnd w:id="113"/>
      <w:bookmarkEnd w:id="114"/>
      <w:bookmarkEnd w:id="115"/>
      <w:r>
        <w:rPr>
          <w:rFonts w:hint="eastAsia" w:ascii="黑体" w:hAnsi="黑体" w:eastAsia="黑体" w:cs="Times New Roman"/>
          <w:b/>
          <w:color w:val="auto"/>
          <w:szCs w:val="32"/>
        </w:rPr>
        <w:t>建设产业技术创新</w:t>
      </w:r>
      <w:bookmarkEnd w:id="116"/>
      <w:bookmarkEnd w:id="117"/>
      <w:bookmarkEnd w:id="118"/>
      <w:r>
        <w:rPr>
          <w:rFonts w:hint="eastAsia" w:ascii="黑体" w:hAnsi="黑体" w:eastAsia="黑体" w:cs="Times New Roman"/>
          <w:b/>
          <w:color w:val="auto"/>
          <w:szCs w:val="32"/>
        </w:rPr>
        <w:t>示范区</w:t>
      </w:r>
      <w:bookmarkEnd w:id="135"/>
    </w:p>
    <w:p>
      <w:pPr>
        <w:adjustRightInd w:val="0"/>
        <w:snapToGrid w:val="0"/>
        <w:spacing w:line="360" w:lineRule="auto"/>
        <w:ind w:firstLine="640"/>
        <w:rPr>
          <w:rFonts w:ascii="仿宋_GB2312"/>
          <w:bCs/>
          <w:color w:val="auto"/>
          <w:szCs w:val="32"/>
        </w:rPr>
      </w:pPr>
      <w:r>
        <w:rPr>
          <w:rFonts w:hint="eastAsia" w:ascii="仿宋_GB2312"/>
          <w:bCs/>
          <w:color w:val="auto"/>
          <w:szCs w:val="32"/>
        </w:rPr>
        <w:t>坚持需求导向，聚焦</w:t>
      </w:r>
      <w:r>
        <w:rPr>
          <w:rFonts w:hint="eastAsia" w:ascii="仿宋_GB2312"/>
          <w:bCs/>
          <w:color w:val="auto"/>
          <w:szCs w:val="32"/>
          <w:lang w:eastAsia="zh-Hans"/>
        </w:rPr>
        <w:t>“3</w:t>
      </w:r>
      <w:r>
        <w:rPr>
          <w:rFonts w:hint="eastAsia" w:ascii="仿宋_GB2312"/>
          <w:bCs/>
          <w:color w:val="auto"/>
          <w:szCs w:val="32"/>
        </w:rPr>
        <w:t>335</w:t>
      </w:r>
      <w:r>
        <w:rPr>
          <w:rFonts w:hint="eastAsia" w:ascii="仿宋_GB2312"/>
          <w:bCs/>
          <w:color w:val="auto"/>
          <w:szCs w:val="32"/>
          <w:lang w:eastAsia="zh-Hans"/>
        </w:rPr>
        <w:t>”</w:t>
      </w:r>
      <w:r>
        <w:rPr>
          <w:rFonts w:hint="eastAsia" w:ascii="仿宋_GB2312"/>
          <w:bCs/>
          <w:color w:val="auto"/>
          <w:szCs w:val="32"/>
        </w:rPr>
        <w:t>产业重点领域、关键环节，开展关键核心技术攻关，以科技创新支撑国家新能源与智能网联汽车基地建设，努力打造具有全国影响力的产业应用技术创新示范区。</w:t>
      </w:r>
    </w:p>
    <w:p>
      <w:pPr>
        <w:autoSpaceDE w:val="0"/>
        <w:autoSpaceDN w:val="0"/>
        <w:adjustRightInd w:val="0"/>
        <w:snapToGrid w:val="0"/>
        <w:spacing w:line="360" w:lineRule="auto"/>
        <w:ind w:firstLine="641"/>
        <w:outlineLvl w:val="1"/>
        <w:rPr>
          <w:rFonts w:ascii="华文中宋" w:hAnsi="华文中宋" w:eastAsia="华文中宋"/>
          <w:b/>
          <w:color w:val="auto"/>
          <w:szCs w:val="32"/>
        </w:rPr>
      </w:pPr>
      <w:bookmarkStart w:id="136" w:name="_Toc7963"/>
      <w:bookmarkStart w:id="137" w:name="_Toc18133"/>
      <w:r>
        <w:rPr>
          <w:rFonts w:hint="eastAsia" w:ascii="华文中宋" w:hAnsi="华文中宋" w:eastAsia="华文中宋"/>
          <w:b/>
          <w:color w:val="auto"/>
          <w:szCs w:val="32"/>
        </w:rPr>
        <w:t>（一）推动优势产业创新转型</w:t>
      </w:r>
      <w:bookmarkEnd w:id="136"/>
      <w:bookmarkEnd w:id="137"/>
    </w:p>
    <w:p>
      <w:pPr>
        <w:adjustRightInd w:val="0"/>
        <w:snapToGrid w:val="0"/>
        <w:spacing w:line="360" w:lineRule="auto"/>
        <w:ind w:firstLine="640"/>
        <w:rPr>
          <w:rFonts w:ascii="仿宋_GB2312"/>
          <w:color w:val="auto"/>
          <w:szCs w:val="32"/>
        </w:rPr>
      </w:pPr>
      <w:r>
        <w:rPr>
          <w:rFonts w:hint="eastAsia" w:ascii="仿宋_GB2312"/>
          <w:bCs/>
          <w:color w:val="auto"/>
          <w:szCs w:val="32"/>
        </w:rPr>
        <w:t>把握制造业高端化、智能化升级趋势，围绕汽车制造、电子电器、食品饮料三大传统优势产业，</w:t>
      </w:r>
      <w:r>
        <w:rPr>
          <w:rFonts w:hint="eastAsia" w:ascii="仿宋_GB2312" w:hAnsi="仿宋_GB2312" w:cs="仿宋_GB2312"/>
          <w:bCs/>
          <w:color w:val="auto"/>
          <w:szCs w:val="32"/>
        </w:rPr>
        <w:t>通过技术创新、工艺创新、智能化改造等推动产业转型升级。</w:t>
      </w:r>
    </w:p>
    <w:p>
      <w:pPr>
        <w:adjustRightInd w:val="0"/>
        <w:snapToGrid w:val="0"/>
        <w:spacing w:line="360" w:lineRule="auto"/>
        <w:ind w:firstLine="0" w:firstLineChars="0"/>
        <w:jc w:val="center"/>
        <w:outlineLvl w:val="3"/>
        <w:rPr>
          <w:rFonts w:ascii="仿宋_GB2312" w:hAnsi="仿宋_GB2312"/>
          <w:b/>
          <w:color w:val="auto"/>
          <w:sz w:val="30"/>
          <w:szCs w:val="30"/>
        </w:rPr>
      </w:pPr>
      <w:r>
        <w:rPr>
          <w:rFonts w:hint="eastAsia" w:ascii="仿宋_GB2312" w:hAnsi="仿宋_GB2312"/>
          <w:b/>
          <w:color w:val="auto"/>
          <w:sz w:val="30"/>
          <w:szCs w:val="30"/>
        </w:rPr>
        <w:t>专栏</w:t>
      </w:r>
      <w:r>
        <w:rPr>
          <w:rFonts w:ascii="仿宋_GB2312" w:hAnsi="仿宋_GB2312"/>
          <w:b/>
          <w:color w:val="auto"/>
          <w:sz w:val="30"/>
          <w:szCs w:val="30"/>
        </w:rPr>
        <w:t>4-1 优势产业创新方向</w:t>
      </w:r>
    </w:p>
    <w:tbl>
      <w:tblPr>
        <w:tblStyle w:val="2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line="360" w:lineRule="auto"/>
              <w:ind w:firstLine="562"/>
              <w:outlineLvl w:val="3"/>
              <w:rPr>
                <w:rFonts w:ascii="仿宋_GB2312" w:hAnsi="仿宋_GB2312" w:cs="宋体"/>
                <w:b/>
                <w:bCs/>
                <w:color w:val="auto"/>
                <w:sz w:val="28"/>
                <w:szCs w:val="28"/>
              </w:rPr>
            </w:pPr>
            <w:r>
              <w:rPr>
                <w:rFonts w:hint="eastAsia" w:ascii="仿宋_GB2312" w:hAnsi="仿宋_GB2312" w:cs="宋体"/>
                <w:b/>
                <w:bCs/>
                <w:color w:val="auto"/>
                <w:sz w:val="28"/>
                <w:szCs w:val="28"/>
              </w:rPr>
              <w:t>汽车制造。</w:t>
            </w:r>
            <w:r>
              <w:rPr>
                <w:rFonts w:hint="eastAsia" w:ascii="仿宋_GB2312" w:hAnsi="仿宋_GB2312" w:cs="宋体"/>
                <w:color w:val="auto"/>
                <w:sz w:val="28"/>
                <w:szCs w:val="28"/>
              </w:rPr>
              <w:t>集中突破高效发动机、电动无级变速等混合动力总成和传感器、执行器、车载控制单元等先进技术。加强铝合金铸造焊接、高强度钢材冲压成型等整车轻量化技术研发。</w:t>
            </w:r>
          </w:p>
          <w:p>
            <w:pPr>
              <w:adjustRightInd w:val="0"/>
              <w:snapToGrid w:val="0"/>
              <w:spacing w:line="360" w:lineRule="auto"/>
              <w:ind w:firstLine="562"/>
              <w:outlineLvl w:val="3"/>
              <w:rPr>
                <w:rFonts w:ascii="仿宋_GB2312" w:hAnsi="仿宋_GB2312" w:cs="宋体"/>
                <w:color w:val="auto"/>
                <w:sz w:val="28"/>
                <w:szCs w:val="28"/>
              </w:rPr>
            </w:pPr>
            <w:r>
              <w:rPr>
                <w:rFonts w:hint="eastAsia" w:ascii="仿宋_GB2312" w:hAnsi="仿宋_GB2312" w:cs="宋体"/>
                <w:b/>
                <w:bCs/>
                <w:color w:val="auto"/>
                <w:sz w:val="28"/>
                <w:szCs w:val="28"/>
              </w:rPr>
              <w:t>电子电器（智能电器）。</w:t>
            </w:r>
            <w:r>
              <w:rPr>
                <w:rFonts w:hint="eastAsia" w:ascii="仿宋_GB2312" w:hAnsi="仿宋_GB2312" w:cstheme="minorEastAsia"/>
                <w:color w:val="auto"/>
                <w:sz w:val="28"/>
                <w:szCs w:val="28"/>
              </w:rPr>
              <w:t>开展智能家电终端、智能家居产品及系统集成服务创新。加强模式识别、虚拟现实、系统仿真、图像处理等人工智能技术在家电家居领域的应用。</w:t>
            </w:r>
          </w:p>
          <w:p>
            <w:pPr>
              <w:adjustRightInd w:val="0"/>
              <w:snapToGrid w:val="0"/>
              <w:spacing w:line="360" w:lineRule="auto"/>
              <w:ind w:firstLine="562"/>
              <w:rPr>
                <w:rFonts w:ascii="仿宋_GB2312" w:hAnsi="仿宋_GB2312"/>
                <w:color w:val="auto"/>
              </w:rPr>
            </w:pPr>
            <w:r>
              <w:rPr>
                <w:rFonts w:hint="eastAsia" w:ascii="仿宋_GB2312" w:hAnsi="仿宋_GB2312" w:cs="宋体"/>
                <w:b/>
                <w:bCs/>
                <w:color w:val="auto"/>
                <w:sz w:val="28"/>
                <w:szCs w:val="28"/>
              </w:rPr>
              <w:t>食品饮料。</w:t>
            </w:r>
            <w:r>
              <w:rPr>
                <w:rFonts w:hint="eastAsia" w:ascii="仿宋_GB2312" w:hAnsi="仿宋_GB2312" w:cs="宋体"/>
                <w:color w:val="auto"/>
                <w:sz w:val="28"/>
                <w:szCs w:val="28"/>
              </w:rPr>
              <w:t>加强具有保健、清凉解毒功效的茶饮料研发，开发无糖、零卡等新型饮料配方。研究物性重构、风味修饰、质构重组、绿色防腐保鲜等关键技术，加强绿色加工、低碳制造和品质控制等技术创新。</w:t>
            </w:r>
          </w:p>
        </w:tc>
      </w:tr>
    </w:tbl>
    <w:p>
      <w:pPr>
        <w:autoSpaceDE w:val="0"/>
        <w:autoSpaceDN w:val="0"/>
        <w:adjustRightInd w:val="0"/>
        <w:snapToGrid w:val="0"/>
        <w:spacing w:before="217" w:beforeLines="50" w:line="360" w:lineRule="auto"/>
        <w:ind w:firstLine="641"/>
        <w:outlineLvl w:val="1"/>
        <w:rPr>
          <w:rFonts w:ascii="华文中宋" w:hAnsi="华文中宋" w:eastAsia="华文中宋"/>
          <w:b/>
          <w:color w:val="auto"/>
          <w:szCs w:val="32"/>
        </w:rPr>
      </w:pPr>
      <w:bookmarkStart w:id="138" w:name="_Toc26155"/>
      <w:bookmarkStart w:id="139" w:name="_Toc14942"/>
      <w:r>
        <w:rPr>
          <w:rFonts w:hint="eastAsia" w:ascii="华文中宋" w:hAnsi="华文中宋" w:eastAsia="华文中宋"/>
          <w:b/>
          <w:color w:val="auto"/>
          <w:szCs w:val="32"/>
        </w:rPr>
        <w:t>（二）突破战略产业关键技术</w:t>
      </w:r>
      <w:bookmarkEnd w:id="138"/>
      <w:bookmarkEnd w:id="139"/>
    </w:p>
    <w:p>
      <w:pPr>
        <w:adjustRightInd w:val="0"/>
        <w:snapToGrid w:val="0"/>
        <w:spacing w:line="360" w:lineRule="auto"/>
        <w:ind w:firstLine="640"/>
        <w:rPr>
          <w:rFonts w:ascii="仿宋_GB2312" w:hAnsi="仿宋_GB2312" w:cs="仿宋_GB2312"/>
          <w:color w:val="auto"/>
        </w:rPr>
      </w:pPr>
      <w:r>
        <w:rPr>
          <w:rFonts w:hint="eastAsia" w:ascii="仿宋_GB2312" w:hAnsi="仿宋_GB2312" w:cs="仿宋_GB2312"/>
          <w:color w:val="auto"/>
        </w:rPr>
        <w:t>围绕新能源和智能网联汽车、新能源、新材料三大战略性新兴产业，开展关键核心技术攻关，形成一批前瞻性创新成果，打造国内特色鲜明的战略性新兴产业创新集群。</w:t>
      </w:r>
    </w:p>
    <w:p>
      <w:pPr>
        <w:adjustRightInd w:val="0"/>
        <w:snapToGrid w:val="0"/>
        <w:spacing w:line="360" w:lineRule="auto"/>
        <w:ind w:firstLine="0" w:firstLineChars="0"/>
        <w:jc w:val="center"/>
        <w:outlineLvl w:val="3"/>
        <w:rPr>
          <w:rFonts w:ascii="仿宋_GB2312" w:hAnsi="仿宋_GB2312"/>
          <w:b/>
          <w:color w:val="auto"/>
          <w:sz w:val="30"/>
          <w:szCs w:val="30"/>
        </w:rPr>
      </w:pPr>
      <w:r>
        <w:rPr>
          <w:rFonts w:hint="eastAsia" w:ascii="仿宋_GB2312" w:hAnsi="仿宋_GB2312"/>
          <w:b/>
          <w:color w:val="auto"/>
          <w:sz w:val="30"/>
          <w:szCs w:val="30"/>
        </w:rPr>
        <w:t>专栏</w:t>
      </w:r>
      <w:r>
        <w:rPr>
          <w:rFonts w:ascii="仿宋_GB2312" w:hAnsi="仿宋_GB2312"/>
          <w:b/>
          <w:color w:val="auto"/>
          <w:sz w:val="30"/>
          <w:szCs w:val="30"/>
        </w:rPr>
        <w:t>4-2 战略产业创新方向</w:t>
      </w:r>
    </w:p>
    <w:tbl>
      <w:tblPr>
        <w:tblStyle w:val="2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line="360" w:lineRule="auto"/>
              <w:ind w:firstLine="562"/>
              <w:outlineLvl w:val="3"/>
              <w:rPr>
                <w:rFonts w:ascii="仿宋_GB2312" w:hAnsi="仿宋_GB2312" w:cs="宋体"/>
                <w:color w:val="auto"/>
                <w:sz w:val="28"/>
                <w:szCs w:val="28"/>
              </w:rPr>
            </w:pPr>
            <w:r>
              <w:rPr>
                <w:rFonts w:hint="eastAsia" w:ascii="仿宋_GB2312" w:hAnsi="仿宋_GB2312" w:cs="宋体"/>
                <w:b/>
                <w:bCs/>
                <w:color w:val="auto"/>
                <w:sz w:val="28"/>
                <w:szCs w:val="28"/>
              </w:rPr>
              <w:t>新能源和智能网联汽车。</w:t>
            </w:r>
            <w:r>
              <w:rPr>
                <w:rFonts w:hint="eastAsia" w:ascii="仿宋_GB2312" w:hAnsi="仿宋_GB2312" w:cs="宋体"/>
                <w:color w:val="auto"/>
                <w:sz w:val="28"/>
                <w:szCs w:val="28"/>
              </w:rPr>
              <w:t>布局纯电动汽车、插电式混合动力汽车、燃料电池汽车整车技术创新链，加快电池管理系统、电机控制器、发动机</w:t>
            </w:r>
            <w:r>
              <w:rPr>
                <w:rFonts w:ascii="仿宋_GB2312" w:hAnsi="仿宋_GB2312" w:cs="宋体"/>
                <w:color w:val="auto"/>
                <w:sz w:val="28"/>
                <w:szCs w:val="28"/>
              </w:rPr>
              <w:t>ECU技术研发，突破新型电子电气架构、高效高密度驱动电机系统等关键技术。突破复杂环境感知、智能决策控制、新型智能终端、智能计算平台、车用无线通信网络、高精度时空基准服务、网络安全等基础前瞻技术。重点支持车</w:t>
            </w:r>
            <w:r>
              <w:rPr>
                <w:rFonts w:hint="eastAsia" w:ascii="仿宋_GB2312" w:hAnsi="仿宋_GB2312" w:cs="宋体"/>
                <w:color w:val="auto"/>
                <w:sz w:val="28"/>
                <w:szCs w:val="28"/>
              </w:rPr>
              <w:t>规级芯片、</w:t>
            </w:r>
            <w:r>
              <w:rPr>
                <w:rFonts w:ascii="仿宋_GB2312" w:hAnsi="仿宋_GB2312" w:cs="宋体"/>
                <w:color w:val="auto"/>
                <w:sz w:val="28"/>
                <w:szCs w:val="28"/>
              </w:rPr>
              <w:t>VANET无线通信技术、新一代LTE-V2X</w:t>
            </w:r>
            <w:r>
              <w:rPr>
                <w:rFonts w:hint="eastAsia" w:ascii="仿宋_GB2312" w:hAnsi="仿宋_GB2312" w:cs="宋体"/>
                <w:color w:val="auto"/>
                <w:sz w:val="28"/>
                <w:szCs w:val="28"/>
              </w:rPr>
              <w:t>路侧技术发展。支持虚拟仿真、软硬件结合仿真、实车道路测试等测试评价技术开发。</w:t>
            </w:r>
          </w:p>
          <w:p>
            <w:pPr>
              <w:adjustRightInd w:val="0"/>
              <w:snapToGrid w:val="0"/>
              <w:spacing w:line="360" w:lineRule="auto"/>
              <w:ind w:firstLine="562"/>
              <w:rPr>
                <w:rFonts w:ascii="仿宋_GB2312" w:hAnsi="仿宋_GB2312" w:cs="宋体"/>
                <w:color w:val="auto"/>
                <w:sz w:val="28"/>
                <w:szCs w:val="28"/>
              </w:rPr>
            </w:pPr>
            <w:r>
              <w:rPr>
                <w:rFonts w:hint="eastAsia" w:ascii="仿宋_GB2312" w:hAnsi="仿宋_GB2312" w:cs="宋体"/>
                <w:b/>
                <w:bCs/>
                <w:color w:val="auto"/>
                <w:sz w:val="28"/>
                <w:szCs w:val="28"/>
              </w:rPr>
              <w:t>新能源。</w:t>
            </w:r>
            <w:r>
              <w:rPr>
                <w:rFonts w:hint="eastAsia" w:ascii="仿宋_GB2312" w:hAnsi="仿宋_GB2312" w:cs="宋体"/>
                <w:color w:val="auto"/>
                <w:sz w:val="28"/>
                <w:szCs w:val="28"/>
              </w:rPr>
              <w:t>加强锂离子动力电池、储能电池、锂电池材料等关键技术研发，突破燃料电池电堆、膜电极、质子交换膜以及动力系统集成等关键技术。支持发展工业副产物制氢、大规模高效可再生能源制氢及纯化技术，加强高储氢密度高压气态储氢装置、高安全性液氢储运装置等研制。支持高转换率太阳能电池技术创新，加快研发新能源协调控制、大容量储能、输配电智能化等技术。</w:t>
            </w:r>
          </w:p>
          <w:p>
            <w:pPr>
              <w:adjustRightInd w:val="0"/>
              <w:snapToGrid w:val="0"/>
              <w:spacing w:line="360" w:lineRule="auto"/>
              <w:ind w:firstLine="562"/>
              <w:rPr>
                <w:rFonts w:ascii="仿宋_GB2312" w:hAnsi="仿宋_GB2312"/>
                <w:color w:val="auto"/>
              </w:rPr>
            </w:pPr>
            <w:r>
              <w:rPr>
                <w:rFonts w:hint="eastAsia" w:ascii="仿宋_GB2312" w:hAnsi="仿宋_GB2312" w:cs="宋体"/>
                <w:b/>
                <w:bCs/>
                <w:color w:val="auto"/>
                <w:sz w:val="28"/>
                <w:szCs w:val="28"/>
              </w:rPr>
              <w:t>新材料。</w:t>
            </w:r>
            <w:r>
              <w:rPr>
                <w:rFonts w:hint="eastAsia" w:ascii="仿宋_GB2312" w:hAnsi="仿宋_GB2312" w:cs="宋体"/>
                <w:color w:val="auto"/>
                <w:sz w:val="28"/>
                <w:szCs w:val="28"/>
              </w:rPr>
              <w:t>突破耐腐蚀新型轻合金材料、高性能复合纤维等轻量化材料技术。强化</w:t>
            </w:r>
            <w:r>
              <w:rPr>
                <w:rFonts w:ascii="仿宋_GB2312" w:hAnsi="仿宋_GB2312" w:cs="宋体"/>
                <w:color w:val="auto"/>
                <w:sz w:val="28"/>
                <w:szCs w:val="28"/>
              </w:rPr>
              <w:t>CMP</w:t>
            </w:r>
            <w:r>
              <w:rPr>
                <w:rFonts w:hint="eastAsia" w:ascii="仿宋_GB2312" w:hAnsi="仿宋_GB2312" w:cs="宋体"/>
                <w:color w:val="auto"/>
                <w:sz w:val="28"/>
                <w:szCs w:val="28"/>
              </w:rPr>
              <w:t>抛光材料、柔性显示基板材料（</w:t>
            </w:r>
            <w:r>
              <w:rPr>
                <w:rFonts w:ascii="仿宋_GB2312" w:hAnsi="仿宋_GB2312" w:cs="宋体"/>
                <w:color w:val="auto"/>
                <w:sz w:val="28"/>
                <w:szCs w:val="28"/>
              </w:rPr>
              <w:t>PI）、电子成显像材料、可印刷发光/反射显示材料关键核心技术研发</w:t>
            </w:r>
            <w:r>
              <w:rPr>
                <w:rFonts w:hint="eastAsia" w:ascii="仿宋_GB2312" w:hAnsi="仿宋_GB2312" w:cs="宋体"/>
                <w:color w:val="auto"/>
                <w:sz w:val="28"/>
                <w:szCs w:val="28"/>
              </w:rPr>
              <w:t>。加强金属材料表面特殊功能化处理、工业部件服役延寿、稀贵金属材料循环利用技术，开展催化材料集成技术开发。开展高温超导材料、低温超导材料、纳米材料、石墨烯、生物医用材料等前沿新材料技术研发布局。</w:t>
            </w:r>
          </w:p>
        </w:tc>
      </w:tr>
    </w:tbl>
    <w:p>
      <w:pPr>
        <w:pStyle w:val="2"/>
        <w:ind w:firstLine="640"/>
      </w:pPr>
      <w:bookmarkStart w:id="140" w:name="_Toc7861"/>
      <w:bookmarkStart w:id="141" w:name="_Toc1031"/>
    </w:p>
    <w:p>
      <w:pPr>
        <w:autoSpaceDE w:val="0"/>
        <w:autoSpaceDN w:val="0"/>
        <w:adjustRightInd w:val="0"/>
        <w:snapToGrid w:val="0"/>
        <w:spacing w:before="217" w:beforeLines="50" w:line="360" w:lineRule="auto"/>
        <w:ind w:firstLine="641"/>
        <w:outlineLvl w:val="1"/>
        <w:rPr>
          <w:rFonts w:ascii="华文中宋" w:hAnsi="华文中宋" w:eastAsia="华文中宋"/>
          <w:b/>
          <w:color w:val="auto"/>
          <w:szCs w:val="32"/>
        </w:rPr>
      </w:pPr>
      <w:r>
        <w:rPr>
          <w:rFonts w:hint="eastAsia" w:ascii="华文中宋" w:hAnsi="华文中宋" w:eastAsia="华文中宋"/>
          <w:b/>
          <w:color w:val="auto"/>
          <w:szCs w:val="32"/>
        </w:rPr>
        <w:t>（三）开展重点产业融合创新</w:t>
      </w:r>
      <w:bookmarkEnd w:id="140"/>
      <w:bookmarkEnd w:id="141"/>
    </w:p>
    <w:p>
      <w:pPr>
        <w:adjustRightInd w:val="0"/>
        <w:snapToGrid w:val="0"/>
        <w:spacing w:line="360" w:lineRule="auto"/>
        <w:ind w:firstLine="640"/>
        <w:rPr>
          <w:rFonts w:ascii="仿宋_GB2312" w:hAnsi="Times New Roman" w:cs="Times New Roman"/>
          <w:bCs/>
          <w:color w:val="auto"/>
          <w:szCs w:val="32"/>
        </w:rPr>
      </w:pPr>
      <w:r>
        <w:rPr>
          <w:rFonts w:hint="eastAsia" w:ascii="仿宋_GB2312" w:hAnsi="华文中宋" w:cs="Times New Roman"/>
          <w:color w:val="auto"/>
          <w:szCs w:val="32"/>
        </w:rPr>
        <w:t>紧抓数字经济和健康经济发展机遇，坚持以服务实体经济和创新发展为导向，把握产业跨界融合发展规律</w:t>
      </w:r>
      <w:r>
        <w:rPr>
          <w:rFonts w:hint="eastAsia" w:ascii="仿宋_GB2312"/>
          <w:bCs/>
          <w:color w:val="auto"/>
          <w:szCs w:val="32"/>
        </w:rPr>
        <w:t>，推动</w:t>
      </w:r>
      <w:r>
        <w:rPr>
          <w:rFonts w:ascii="仿宋_GB2312" w:hAnsi="Times New Roman" w:cs="Times New Roman"/>
          <w:bCs/>
          <w:color w:val="auto"/>
          <w:szCs w:val="32"/>
        </w:rPr>
        <w:t>数字</w:t>
      </w:r>
      <w:r>
        <w:rPr>
          <w:rFonts w:hint="eastAsia" w:ascii="仿宋_GB2312" w:hAnsi="Times New Roman" w:cs="Times New Roman"/>
          <w:bCs/>
          <w:color w:val="auto"/>
          <w:szCs w:val="32"/>
        </w:rPr>
        <w:t>经济、</w:t>
      </w:r>
      <w:r>
        <w:rPr>
          <w:rFonts w:hint="eastAsia" w:ascii="仿宋_GB2312" w:hAnsi="仿宋_GB2312" w:cs="仿宋_GB2312"/>
          <w:color w:val="auto"/>
        </w:rPr>
        <w:t>大健康、现代服务业</w:t>
      </w:r>
      <w:r>
        <w:rPr>
          <w:rFonts w:hint="eastAsia" w:ascii="仿宋_GB2312" w:hAnsi="Times New Roman" w:cs="Times New Roman"/>
          <w:bCs/>
          <w:color w:val="auto"/>
          <w:szCs w:val="32"/>
        </w:rPr>
        <w:t>融合</w:t>
      </w:r>
      <w:r>
        <w:rPr>
          <w:rFonts w:hint="eastAsia" w:ascii="仿宋_GB2312" w:hAnsi="仿宋_GB2312" w:cs="仿宋_GB2312"/>
          <w:color w:val="auto"/>
        </w:rPr>
        <w:t>创新</w:t>
      </w:r>
      <w:r>
        <w:rPr>
          <w:rFonts w:hint="eastAsia" w:ascii="仿宋_GB2312" w:hAnsi="Times New Roman" w:cs="Times New Roman"/>
          <w:bCs/>
          <w:color w:val="auto"/>
          <w:szCs w:val="32"/>
        </w:rPr>
        <w:t>。</w:t>
      </w:r>
    </w:p>
    <w:p>
      <w:pPr>
        <w:adjustRightInd w:val="0"/>
        <w:snapToGrid w:val="0"/>
        <w:spacing w:line="360" w:lineRule="auto"/>
        <w:ind w:firstLine="0" w:firstLineChars="0"/>
        <w:jc w:val="center"/>
        <w:outlineLvl w:val="3"/>
        <w:rPr>
          <w:rFonts w:ascii="仿宋_GB2312" w:hAnsi="仿宋_GB2312"/>
          <w:b/>
          <w:color w:val="auto"/>
          <w:sz w:val="30"/>
          <w:szCs w:val="30"/>
        </w:rPr>
      </w:pPr>
      <w:r>
        <w:rPr>
          <w:rFonts w:hint="eastAsia" w:ascii="仿宋_GB2312" w:hAnsi="仿宋_GB2312"/>
          <w:b/>
          <w:color w:val="auto"/>
          <w:sz w:val="30"/>
          <w:szCs w:val="30"/>
        </w:rPr>
        <w:t>专栏</w:t>
      </w:r>
      <w:r>
        <w:rPr>
          <w:rFonts w:ascii="仿宋_GB2312" w:hAnsi="仿宋_GB2312"/>
          <w:b/>
          <w:color w:val="auto"/>
          <w:sz w:val="30"/>
          <w:szCs w:val="30"/>
        </w:rPr>
        <w:t>4-3 重点产业创新方向</w:t>
      </w:r>
    </w:p>
    <w:tbl>
      <w:tblPr>
        <w:tblStyle w:val="2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line="360" w:lineRule="auto"/>
              <w:ind w:firstLine="562"/>
              <w:outlineLvl w:val="3"/>
              <w:rPr>
                <w:rFonts w:ascii="仿宋_GB2312" w:hAnsi="仿宋_GB2312" w:cs="宋体"/>
                <w:color w:val="auto"/>
                <w:sz w:val="28"/>
                <w:szCs w:val="28"/>
              </w:rPr>
            </w:pPr>
            <w:r>
              <w:rPr>
                <w:rFonts w:hint="eastAsia" w:ascii="仿宋_GB2312" w:hAnsi="仿宋_GB2312" w:cs="宋体"/>
                <w:b/>
                <w:bCs/>
                <w:color w:val="auto"/>
                <w:sz w:val="28"/>
                <w:szCs w:val="28"/>
              </w:rPr>
              <w:t>数字经济。</w:t>
            </w:r>
            <w:r>
              <w:rPr>
                <w:rFonts w:hint="eastAsia" w:ascii="仿宋_GB2312" w:hAnsi="仿宋_GB2312" w:cstheme="minorEastAsia"/>
                <w:color w:val="auto"/>
                <w:sz w:val="28"/>
                <w:szCs w:val="28"/>
              </w:rPr>
              <w:t>加快工业互联网标识解析及中间件研制技术开发，</w:t>
            </w:r>
            <w:r>
              <w:rPr>
                <w:rFonts w:hint="eastAsia" w:ascii="仿宋_GB2312" w:hAnsi="仿宋_GB2312" w:cs="宋体"/>
                <w:color w:val="auto"/>
                <w:sz w:val="28"/>
                <w:szCs w:val="28"/>
              </w:rPr>
              <w:t>开展</w:t>
            </w:r>
            <w:r>
              <w:rPr>
                <w:rFonts w:ascii="仿宋_GB2312" w:hAnsi="仿宋_GB2312" w:cs="宋体"/>
                <w:color w:val="auto"/>
                <w:sz w:val="28"/>
                <w:szCs w:val="28"/>
              </w:rPr>
              <w:t>PaaS、SaaS</w:t>
            </w:r>
            <w:r>
              <w:rPr>
                <w:rFonts w:hint="eastAsia" w:ascii="仿宋_GB2312" w:hAnsi="仿宋_GB2312" w:cs="宋体"/>
                <w:color w:val="auto"/>
                <w:sz w:val="28"/>
                <w:szCs w:val="28"/>
              </w:rPr>
              <w:t>等云计算核心技术研发。面向工业制造、家庭家居、文娱教育等领域，加强计算机视觉、语音识别、文本挖掘、语义理解等人工智能技术研发。积极布局下一代物联网，加强射频识别与传感节点技术、组网与协同处理技术、系统集成技术等创新应用。突破大数据治理、分析和场景应用关键技术。</w:t>
            </w:r>
          </w:p>
          <w:p>
            <w:pPr>
              <w:adjustRightInd w:val="0"/>
              <w:snapToGrid w:val="0"/>
              <w:spacing w:line="360" w:lineRule="auto"/>
              <w:ind w:firstLine="562"/>
              <w:outlineLvl w:val="3"/>
              <w:rPr>
                <w:rFonts w:ascii="仿宋_GB2312" w:hAnsi="仿宋_GB2312" w:cs="宋体"/>
                <w:color w:val="auto"/>
                <w:sz w:val="28"/>
                <w:szCs w:val="28"/>
              </w:rPr>
            </w:pPr>
            <w:r>
              <w:rPr>
                <w:rFonts w:hint="eastAsia" w:ascii="仿宋_GB2312" w:hAnsi="仿宋_GB2312" w:cs="宋体"/>
                <w:b/>
                <w:bCs/>
                <w:color w:val="auto"/>
                <w:sz w:val="28"/>
                <w:szCs w:val="28"/>
              </w:rPr>
              <w:t>现代服务。</w:t>
            </w:r>
            <w:r>
              <w:rPr>
                <w:rFonts w:hint="eastAsia" w:ascii="仿宋_GB2312" w:hAnsi="仿宋_GB2312" w:cs="宋体"/>
                <w:color w:val="auto"/>
                <w:sz w:val="28"/>
                <w:szCs w:val="28"/>
              </w:rPr>
              <w:t>加强新一代信息技术在服务业的创新应用，推进研发设计、知识产权、检验检测、创业孵化、人力资源、金融服务、商务商贸等领域融合创新，加快培育高端化、数字化、智能化服务新业态。</w:t>
            </w:r>
          </w:p>
          <w:p>
            <w:pPr>
              <w:adjustRightInd w:val="0"/>
              <w:snapToGrid w:val="0"/>
              <w:spacing w:line="360" w:lineRule="auto"/>
              <w:ind w:firstLine="562"/>
              <w:outlineLvl w:val="3"/>
              <w:rPr>
                <w:rFonts w:ascii="仿宋_GB2312" w:hAnsi="仿宋_GB2312"/>
                <w:color w:val="auto"/>
              </w:rPr>
            </w:pPr>
            <w:r>
              <w:rPr>
                <w:rFonts w:hint="eastAsia" w:ascii="仿宋_GB2312" w:hAnsi="仿宋_GB2312" w:cs="宋体"/>
                <w:b/>
                <w:bCs/>
                <w:color w:val="auto"/>
                <w:sz w:val="28"/>
                <w:szCs w:val="28"/>
              </w:rPr>
              <w:t>大健康。</w:t>
            </w:r>
            <w:r>
              <w:rPr>
                <w:rFonts w:hint="eastAsia" w:ascii="仿宋_GB2312" w:hAnsi="仿宋_GB2312" w:cs="宋体"/>
                <w:color w:val="auto"/>
                <w:sz w:val="28"/>
                <w:szCs w:val="28"/>
              </w:rPr>
              <w:t>支持重离子肿瘤治疗、体外膜肺氧合（ECMO）和呼吸机等智能康复医疗设备关键技术研发，以及高端医疗仪器核心零部件研发设计。加强具有自主知识产权的生物技术药、新型化学药制剂、中医改良新药等研发。支持建立覆盖基层医疗配送和零售终端销售的智慧化医药流通服务体系。</w:t>
            </w:r>
          </w:p>
        </w:tc>
      </w:tr>
    </w:tbl>
    <w:p>
      <w:pPr>
        <w:autoSpaceDE w:val="0"/>
        <w:autoSpaceDN w:val="0"/>
        <w:adjustRightInd w:val="0"/>
        <w:snapToGrid w:val="0"/>
        <w:spacing w:before="217" w:beforeLines="50" w:line="360" w:lineRule="auto"/>
        <w:ind w:firstLine="641"/>
        <w:outlineLvl w:val="1"/>
        <w:rPr>
          <w:rFonts w:ascii="华文中宋" w:hAnsi="华文中宋" w:eastAsia="华文中宋"/>
          <w:b/>
          <w:color w:val="auto"/>
          <w:szCs w:val="32"/>
        </w:rPr>
      </w:pPr>
      <w:bookmarkStart w:id="142" w:name="_Toc17304"/>
      <w:bookmarkStart w:id="143" w:name="_Toc25010"/>
      <w:r>
        <w:rPr>
          <w:rFonts w:hint="eastAsia" w:ascii="华文中宋" w:hAnsi="华文中宋" w:eastAsia="华文中宋"/>
          <w:b/>
          <w:color w:val="auto"/>
          <w:szCs w:val="32"/>
        </w:rPr>
        <w:t>（四）加强特色产业</w:t>
      </w:r>
      <w:bookmarkEnd w:id="142"/>
      <w:r>
        <w:rPr>
          <w:rFonts w:hint="eastAsia" w:ascii="华文中宋" w:hAnsi="华文中宋" w:eastAsia="华文中宋"/>
          <w:b/>
          <w:color w:val="auto"/>
          <w:szCs w:val="32"/>
        </w:rPr>
        <w:t>创新布局</w:t>
      </w:r>
      <w:bookmarkEnd w:id="143"/>
    </w:p>
    <w:p>
      <w:pPr>
        <w:adjustRightInd w:val="0"/>
        <w:snapToGrid w:val="0"/>
        <w:spacing w:line="360" w:lineRule="auto"/>
        <w:ind w:firstLine="640"/>
        <w:rPr>
          <w:rFonts w:ascii="仿宋_GB2312"/>
          <w:color w:val="auto"/>
          <w:szCs w:val="32"/>
        </w:rPr>
      </w:pPr>
      <w:r>
        <w:rPr>
          <w:rFonts w:hint="eastAsia" w:ascii="仿宋_GB2312"/>
          <w:color w:val="auto"/>
          <w:szCs w:val="32"/>
        </w:rPr>
        <w:t>强化高端装备、智能建造、通用航空、现代物流、高科技农业等特色领域创新优势，推进产业迭代升级，形成一批“小而精”“特而强”的创新集群。</w:t>
      </w:r>
    </w:p>
    <w:p>
      <w:pPr>
        <w:adjustRightInd w:val="0"/>
        <w:snapToGrid w:val="0"/>
        <w:spacing w:line="360" w:lineRule="auto"/>
        <w:ind w:firstLine="0" w:firstLineChars="0"/>
        <w:jc w:val="center"/>
        <w:outlineLvl w:val="3"/>
        <w:rPr>
          <w:rFonts w:ascii="仿宋_GB2312" w:hAnsi="仿宋_GB2312"/>
          <w:b/>
          <w:color w:val="auto"/>
          <w:sz w:val="30"/>
          <w:szCs w:val="30"/>
        </w:rPr>
      </w:pPr>
      <w:r>
        <w:rPr>
          <w:rFonts w:hint="eastAsia" w:ascii="仿宋_GB2312" w:hAnsi="仿宋_GB2312"/>
          <w:b/>
          <w:color w:val="auto"/>
          <w:sz w:val="30"/>
          <w:szCs w:val="30"/>
        </w:rPr>
        <w:t>专栏</w:t>
      </w:r>
      <w:r>
        <w:rPr>
          <w:rFonts w:ascii="仿宋_GB2312" w:hAnsi="仿宋_GB2312"/>
          <w:b/>
          <w:color w:val="auto"/>
          <w:sz w:val="30"/>
          <w:szCs w:val="30"/>
        </w:rPr>
        <w:t xml:space="preserve">4-4 </w:t>
      </w:r>
      <w:r>
        <w:rPr>
          <w:rFonts w:hint="eastAsia" w:ascii="仿宋_GB2312" w:hAnsi="仿宋_GB2312"/>
          <w:b/>
          <w:color w:val="auto"/>
          <w:sz w:val="30"/>
          <w:szCs w:val="30"/>
        </w:rPr>
        <w:t>特色产业创新方向</w:t>
      </w:r>
    </w:p>
    <w:tbl>
      <w:tblPr>
        <w:tblStyle w:val="2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line="360" w:lineRule="auto"/>
              <w:ind w:firstLine="562"/>
              <w:outlineLvl w:val="3"/>
              <w:rPr>
                <w:rFonts w:ascii="仿宋_GB2312" w:hAnsi="仿宋_GB2312"/>
                <w:color w:val="auto"/>
                <w:sz w:val="28"/>
                <w:szCs w:val="28"/>
              </w:rPr>
            </w:pPr>
            <w:r>
              <w:rPr>
                <w:rFonts w:hint="eastAsia" w:ascii="仿宋_GB2312" w:hAnsi="仿宋_GB2312"/>
                <w:b/>
                <w:bCs/>
                <w:color w:val="auto"/>
                <w:sz w:val="28"/>
                <w:szCs w:val="28"/>
              </w:rPr>
              <w:t>高端装备。</w:t>
            </w:r>
            <w:r>
              <w:rPr>
                <w:rFonts w:hint="eastAsia" w:ascii="仿宋_GB2312" w:hAnsi="仿宋_GB2312"/>
                <w:color w:val="auto"/>
                <w:sz w:val="28"/>
                <w:szCs w:val="28"/>
              </w:rPr>
              <w:t>加大精密减速器、伺服驱动器、电机、控制器等工业机器人核心部件和关键技术研发力度，开展人机交互、面向人机安全协作的柔顺关节、人机-环境感知、理解与控制深度融合技术研发。大力发展高速精密数控车床、磨床、重载轴承、齿轮加工机床，重点突破智能化数控加工系统、实用化准柔性制造系统。</w:t>
            </w:r>
          </w:p>
          <w:p>
            <w:pPr>
              <w:adjustRightInd w:val="0"/>
              <w:snapToGrid w:val="0"/>
              <w:spacing w:line="360" w:lineRule="auto"/>
              <w:ind w:firstLine="562"/>
              <w:outlineLvl w:val="3"/>
              <w:rPr>
                <w:rFonts w:ascii="仿宋_GB2312" w:hAnsi="仿宋_GB2312"/>
                <w:color w:val="auto"/>
                <w:sz w:val="28"/>
                <w:szCs w:val="28"/>
              </w:rPr>
            </w:pPr>
            <w:r>
              <w:rPr>
                <w:rFonts w:hint="eastAsia" w:ascii="仿宋_GB2312" w:hAnsi="仿宋_GB2312"/>
                <w:b/>
                <w:bCs/>
                <w:color w:val="auto"/>
                <w:sz w:val="28"/>
                <w:szCs w:val="28"/>
              </w:rPr>
              <w:t>智能建造。</w:t>
            </w:r>
            <w:r>
              <w:rPr>
                <w:rFonts w:hint="eastAsia" w:ascii="仿宋_GB2312" w:hAnsi="仿宋_GB2312"/>
                <w:color w:val="auto"/>
                <w:sz w:val="28"/>
                <w:szCs w:val="28"/>
              </w:rPr>
              <w:t>围绕隧道桥梁、高层建筑、轨道交通等领域，布局发展智能设计和建造关键核心与共性技术，开展城市重大工程精准爆破等技术攻关。开展建筑工地智能化技术研发，加快边缘计算、数字孪生等智能工地核心技术与产品研发，建立基于</w:t>
            </w:r>
            <w:r>
              <w:rPr>
                <w:rFonts w:ascii="仿宋_GB2312" w:hAnsi="仿宋_GB2312"/>
                <w:color w:val="auto"/>
                <w:sz w:val="28"/>
                <w:szCs w:val="28"/>
              </w:rPr>
              <w:t>5G的智能工地技术体系。</w:t>
            </w:r>
          </w:p>
          <w:p>
            <w:pPr>
              <w:adjustRightInd w:val="0"/>
              <w:snapToGrid w:val="0"/>
              <w:spacing w:line="360" w:lineRule="auto"/>
              <w:ind w:firstLine="562"/>
              <w:outlineLvl w:val="3"/>
              <w:rPr>
                <w:rFonts w:ascii="仿宋_GB2312" w:hAnsi="仿宋_GB2312"/>
                <w:color w:val="auto"/>
                <w:sz w:val="28"/>
                <w:szCs w:val="28"/>
              </w:rPr>
            </w:pPr>
            <w:r>
              <w:rPr>
                <w:rFonts w:hint="eastAsia" w:ascii="仿宋_GB2312" w:hAnsi="仿宋_GB2312"/>
                <w:b/>
                <w:bCs/>
                <w:color w:val="auto"/>
                <w:sz w:val="28"/>
                <w:szCs w:val="28"/>
              </w:rPr>
              <w:t>通用航空。</w:t>
            </w:r>
            <w:r>
              <w:rPr>
                <w:rFonts w:hint="eastAsia" w:ascii="仿宋_GB2312" w:hAnsi="仿宋_GB2312"/>
                <w:color w:val="auto"/>
                <w:sz w:val="28"/>
                <w:szCs w:val="28"/>
              </w:rPr>
              <w:t>重点研发特种飞行器、通用飞机、无人机等关键装备和核心技术，突破一批航空维修保养技术。开展“通用航空</w:t>
            </w:r>
            <w:r>
              <w:rPr>
                <w:rFonts w:ascii="仿宋_GB2312" w:hAnsi="仿宋_GB2312"/>
                <w:color w:val="auto"/>
                <w:sz w:val="28"/>
                <w:szCs w:val="28"/>
              </w:rPr>
              <w:t>+北斗导航+5G+应用服务解决方案”模式创新，开展通航旅游、应急救援、通航教育培训等多种服务创新。</w:t>
            </w:r>
          </w:p>
          <w:p>
            <w:pPr>
              <w:adjustRightInd w:val="0"/>
              <w:snapToGrid w:val="0"/>
              <w:spacing w:line="360" w:lineRule="auto"/>
              <w:ind w:firstLine="562"/>
              <w:outlineLvl w:val="3"/>
              <w:rPr>
                <w:rFonts w:ascii="仿宋_GB2312" w:hAnsi="仿宋_GB2312"/>
                <w:color w:val="auto"/>
                <w:sz w:val="28"/>
                <w:szCs w:val="28"/>
              </w:rPr>
            </w:pPr>
            <w:r>
              <w:rPr>
                <w:rFonts w:hint="eastAsia" w:ascii="仿宋_GB2312" w:hAnsi="仿宋_GB2312"/>
                <w:b/>
                <w:bCs/>
                <w:color w:val="auto"/>
                <w:sz w:val="28"/>
                <w:szCs w:val="28"/>
              </w:rPr>
              <w:t>现代物流。</w:t>
            </w:r>
            <w:r>
              <w:rPr>
                <w:rFonts w:hint="eastAsia" w:ascii="仿宋_GB2312" w:hAnsi="仿宋_GB2312"/>
                <w:color w:val="auto"/>
                <w:sz w:val="28"/>
                <w:szCs w:val="28"/>
              </w:rPr>
              <w:t>加强智能搬运小车输送、智能悬挂输送、自动化辊道输送、升降输送等物流输送系统，以及自动快速分拣、智能堆垛、立体仓储等智能仓储技术研发应用。突破全数字化控制、自主导航、智能避障等智慧物流技术。</w:t>
            </w:r>
          </w:p>
          <w:p>
            <w:pPr>
              <w:adjustRightInd w:val="0"/>
              <w:snapToGrid w:val="0"/>
              <w:spacing w:line="360" w:lineRule="auto"/>
              <w:ind w:firstLine="562"/>
              <w:outlineLvl w:val="3"/>
              <w:rPr>
                <w:rFonts w:ascii="仿宋_GB2312" w:hAnsi="仿宋_GB2312"/>
                <w:color w:val="auto"/>
                <w:sz w:val="28"/>
                <w:szCs w:val="28"/>
              </w:rPr>
            </w:pPr>
            <w:r>
              <w:rPr>
                <w:rFonts w:hint="eastAsia" w:ascii="仿宋_GB2312" w:hAnsi="仿宋_GB2312"/>
                <w:b/>
                <w:bCs/>
                <w:color w:val="auto"/>
                <w:sz w:val="28"/>
                <w:szCs w:val="28"/>
              </w:rPr>
              <w:t>高科技农业。</w:t>
            </w:r>
            <w:r>
              <w:rPr>
                <w:rFonts w:hint="eastAsia" w:ascii="仿宋_GB2312" w:hAnsi="仿宋_GB2312"/>
                <w:color w:val="auto"/>
                <w:sz w:val="28"/>
                <w:szCs w:val="28"/>
              </w:rPr>
              <w:t>研发粮油作物实用、精准、高效分子育种新技术，培育绿色、功能营养、多倍体等水稻新品种。开展长江流域特色鱼类人工高效繁育与驯化等技术研究，培育高产、优质、抗病、抗逆的名特优鱼类新品种。开发绿色、有机、鲜食等功能的甜玉米和蔬菜新品种，加强品质保真技术、农产品绿色加工技术创新。加强人工智能在土壤探测、病虫害防护、畜禽患病预警等领域的应用，加快运用数字技术赋能现代农业。</w:t>
            </w:r>
          </w:p>
        </w:tc>
      </w:tr>
      <w:bookmarkEnd w:id="119"/>
      <w:bookmarkEnd w:id="120"/>
      <w:bookmarkEnd w:id="121"/>
    </w:tbl>
    <w:p>
      <w:pPr>
        <w:adjustRightInd w:val="0"/>
        <w:snapToGrid w:val="0"/>
        <w:spacing w:line="360" w:lineRule="auto"/>
        <w:ind w:firstLine="640"/>
        <w:rPr>
          <w:rFonts w:ascii="仿宋_GB2312" w:hAnsi="Calibri" w:cs="仿宋_GB2312"/>
          <w:color w:val="auto"/>
          <w:szCs w:val="32"/>
          <w:lang w:bidi="ar"/>
        </w:rPr>
      </w:pPr>
      <w:bookmarkStart w:id="144" w:name="_Toc2880"/>
      <w:bookmarkStart w:id="145" w:name="_Toc28352"/>
      <w:bookmarkStart w:id="146" w:name="_Toc11107"/>
      <w:bookmarkStart w:id="147" w:name="_Toc1067"/>
      <w:bookmarkStart w:id="148" w:name="_Toc13961"/>
      <w:bookmarkStart w:id="149" w:name="_Toc15829"/>
      <w:bookmarkStart w:id="150" w:name="_Toc29887"/>
      <w:bookmarkStart w:id="151" w:name="_Toc18390"/>
      <w:bookmarkStart w:id="152" w:name="_Toc14194"/>
      <w:bookmarkStart w:id="153" w:name="_Toc31767"/>
      <w:bookmarkStart w:id="154" w:name="_Toc17617"/>
      <w:bookmarkStart w:id="155" w:name="_Toc9329"/>
    </w:p>
    <w:p>
      <w:pPr>
        <w:autoSpaceDE w:val="0"/>
        <w:autoSpaceDN w:val="0"/>
        <w:adjustRightInd w:val="0"/>
        <w:snapToGrid w:val="0"/>
        <w:spacing w:line="360" w:lineRule="auto"/>
        <w:ind w:firstLine="641"/>
        <w:outlineLvl w:val="1"/>
        <w:rPr>
          <w:rFonts w:ascii="华文中宋" w:hAnsi="华文中宋" w:eastAsia="华文中宋"/>
          <w:b/>
          <w:color w:val="auto"/>
          <w:szCs w:val="32"/>
        </w:rPr>
      </w:pPr>
      <w:bookmarkStart w:id="156" w:name="_Toc25197"/>
      <w:r>
        <w:rPr>
          <w:rFonts w:hint="eastAsia" w:ascii="华文中宋" w:hAnsi="华文中宋" w:eastAsia="华文中宋"/>
          <w:b/>
          <w:color w:val="auto"/>
          <w:szCs w:val="32"/>
        </w:rPr>
        <w:t>（五）构建多层次产业技术创新平台</w:t>
      </w:r>
      <w:bookmarkEnd w:id="144"/>
      <w:bookmarkEnd w:id="145"/>
      <w:bookmarkEnd w:id="146"/>
      <w:bookmarkEnd w:id="147"/>
      <w:bookmarkEnd w:id="148"/>
      <w:bookmarkEnd w:id="149"/>
      <w:bookmarkEnd w:id="156"/>
    </w:p>
    <w:p>
      <w:pPr>
        <w:adjustRightInd w:val="0"/>
        <w:snapToGrid w:val="0"/>
        <w:spacing w:line="360" w:lineRule="auto"/>
        <w:ind w:firstLine="643"/>
        <w:outlineLvl w:val="2"/>
        <w:rPr>
          <w:rFonts w:ascii="楷体_GB2312" w:hAnsi="Times New Roman" w:eastAsia="楷体_GB2312" w:cs="Times New Roman"/>
          <w:b/>
          <w:color w:val="auto"/>
          <w:szCs w:val="32"/>
        </w:rPr>
      </w:pPr>
      <w:r>
        <w:rPr>
          <w:rFonts w:hint="eastAsia" w:ascii="楷体_GB2312" w:hAnsi="Times New Roman" w:eastAsia="楷体_GB2312" w:cs="Times New Roman"/>
          <w:b/>
          <w:color w:val="auto"/>
          <w:szCs w:val="32"/>
        </w:rPr>
        <w:t>1. 支持企业主体研发机构建设</w:t>
      </w:r>
    </w:p>
    <w:p>
      <w:pPr>
        <w:adjustRightInd w:val="0"/>
        <w:snapToGrid w:val="0"/>
        <w:spacing w:line="360" w:lineRule="auto"/>
        <w:ind w:firstLine="640"/>
        <w:rPr>
          <w:rFonts w:ascii="仿宋_GB2312" w:hAnsi="Calibri" w:cs="仿宋_GB2312"/>
          <w:color w:val="auto"/>
          <w:szCs w:val="32"/>
          <w:lang w:bidi="ar"/>
        </w:rPr>
      </w:pPr>
      <w:r>
        <w:rPr>
          <w:rFonts w:hint="eastAsia" w:ascii="仿宋_GB2312" w:hAnsi="Calibri" w:cs="仿宋_GB2312"/>
          <w:color w:val="auto"/>
          <w:szCs w:val="32"/>
          <w:lang w:bidi="ar"/>
        </w:rPr>
        <w:t>实施规上工业企业、高新技术企业研发机构全覆盖工程，根据产业特点和企业创新需求，制定研发机构建设年度计划。支持东风公司、鼎龙等行业龙头企业联合高校院所、产业链上下游企业建设技术创新中心、产业创新中心、制造业创新中心等创新平台，开展面向中长期的研发布局和技术攻关。支持企业建设工程研究中心、企业技术中心、院士专家工作站等创新平台，鼓励现有创新平台提档升级。持续跟踪世界500强企业创新布局，引进一批研发机构。加强企业研发投入支持，落实企业研发费用加计扣除政策，不断降低企业研发成本。</w:t>
      </w:r>
    </w:p>
    <w:p>
      <w:pPr>
        <w:adjustRightInd w:val="0"/>
        <w:snapToGrid w:val="0"/>
        <w:spacing w:line="360" w:lineRule="auto"/>
        <w:ind w:firstLine="643"/>
        <w:outlineLvl w:val="2"/>
        <w:rPr>
          <w:rFonts w:ascii="楷体_GB2312" w:hAnsi="Times New Roman" w:eastAsia="楷体_GB2312" w:cs="Times New Roman"/>
          <w:b/>
          <w:color w:val="auto"/>
          <w:szCs w:val="32"/>
        </w:rPr>
      </w:pPr>
      <w:r>
        <w:rPr>
          <w:rFonts w:hint="eastAsia" w:ascii="楷体_GB2312" w:hAnsi="Times New Roman" w:eastAsia="楷体_GB2312" w:cs="Times New Roman"/>
          <w:b/>
          <w:color w:val="auto"/>
          <w:szCs w:val="32"/>
        </w:rPr>
        <w:t>2. 打造高水平实验室</w:t>
      </w:r>
    </w:p>
    <w:p>
      <w:pPr>
        <w:adjustRightInd w:val="0"/>
        <w:snapToGrid w:val="0"/>
        <w:spacing w:line="360" w:lineRule="auto"/>
        <w:ind w:firstLine="640"/>
        <w:rPr>
          <w:rFonts w:ascii="Calibri" w:hAnsi="Calibri" w:cs="仿宋_GB2312"/>
          <w:color w:val="auto"/>
          <w:lang w:bidi="ar"/>
        </w:rPr>
      </w:pPr>
      <w:r>
        <w:rPr>
          <w:rFonts w:hint="eastAsia" w:ascii="Calibri" w:hAnsi="Calibri" w:cs="仿宋_GB2312"/>
          <w:color w:val="auto"/>
          <w:lang w:bidi="ar"/>
        </w:rPr>
        <w:t>谋划建设车谷实验室，面向新能源与智能网联汽车开展关键核心技术研究、技术协同创新。支持精细爆破国家重点实验室、光电化学材料与器件实验室、柔性显示材料与技术协同创新中心建设，持续开展行业关键技术攻关。支持高校院所、企业牵头建设一批省级、国家级重点实验室，围绕引领产业发展的新方向开展前沿技术研究。</w:t>
      </w:r>
    </w:p>
    <w:p>
      <w:pPr>
        <w:pStyle w:val="2"/>
        <w:ind w:firstLine="640"/>
        <w:rPr>
          <w:lang w:bidi="ar"/>
        </w:rPr>
      </w:pPr>
    </w:p>
    <w:p>
      <w:pPr>
        <w:adjustRightInd w:val="0"/>
        <w:snapToGrid w:val="0"/>
        <w:spacing w:line="360" w:lineRule="auto"/>
        <w:ind w:firstLine="0" w:firstLineChars="0"/>
        <w:jc w:val="center"/>
        <w:outlineLvl w:val="3"/>
        <w:rPr>
          <w:rFonts w:ascii="仿宋_GB2312" w:hAnsi="仿宋_GB2312" w:cs="宋体"/>
          <w:b/>
          <w:color w:val="auto"/>
          <w:sz w:val="30"/>
          <w:szCs w:val="30"/>
        </w:rPr>
      </w:pPr>
      <w:r>
        <w:rPr>
          <w:rFonts w:hint="eastAsia" w:ascii="仿宋_GB2312" w:hAnsi="仿宋_GB2312" w:cs="宋体"/>
          <w:b/>
          <w:color w:val="auto"/>
          <w:sz w:val="30"/>
          <w:szCs w:val="30"/>
        </w:rPr>
        <w:t>专栏</w:t>
      </w:r>
      <w:r>
        <w:rPr>
          <w:rFonts w:ascii="仿宋_GB2312" w:hAnsi="仿宋_GB2312" w:cs="宋体"/>
          <w:b/>
          <w:color w:val="auto"/>
          <w:sz w:val="30"/>
          <w:szCs w:val="30"/>
        </w:rPr>
        <w:t xml:space="preserve">4-6 </w:t>
      </w:r>
      <w:r>
        <w:rPr>
          <w:rFonts w:hint="eastAsia" w:ascii="仿宋_GB2312" w:hAnsi="仿宋_GB2312" w:cs="宋体"/>
          <w:b/>
          <w:color w:val="auto"/>
          <w:sz w:val="30"/>
          <w:szCs w:val="30"/>
        </w:rPr>
        <w:t>建设车谷实验室</w:t>
      </w:r>
    </w:p>
    <w:tbl>
      <w:tblPr>
        <w:tblStyle w:val="2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9"/>
              <w:adjustRightInd w:val="0"/>
              <w:snapToGrid w:val="0"/>
              <w:spacing w:line="360" w:lineRule="auto"/>
              <w:ind w:firstLine="562"/>
              <w:rPr>
                <w:rFonts w:ascii="仿宋_GB2312" w:hAnsi="仿宋_GB2312" w:eastAsia="仿宋_GB2312" w:cs="宋体"/>
                <w:color w:val="auto"/>
                <w:sz w:val="28"/>
                <w:szCs w:val="22"/>
              </w:rPr>
            </w:pPr>
            <w:r>
              <w:rPr>
                <w:rFonts w:hint="eastAsia" w:ascii="仿宋_GB2312" w:hAnsi="仿宋_GB2312" w:eastAsia="仿宋_GB2312" w:cs="宋体"/>
                <w:b/>
                <w:bCs/>
                <w:color w:val="auto"/>
                <w:sz w:val="28"/>
                <w:szCs w:val="22"/>
              </w:rPr>
              <w:t>建设主体：</w:t>
            </w:r>
            <w:r>
              <w:rPr>
                <w:rFonts w:hint="eastAsia" w:ascii="仿宋_GB2312" w:hAnsi="仿宋_GB2312" w:eastAsia="仿宋_GB2312" w:cs="宋体"/>
                <w:color w:val="auto"/>
                <w:sz w:val="28"/>
                <w:szCs w:val="22"/>
              </w:rPr>
              <w:t>武汉经开区管委会、高校院所、重点企业。</w:t>
            </w:r>
          </w:p>
          <w:p>
            <w:pPr>
              <w:pStyle w:val="9"/>
              <w:adjustRightInd w:val="0"/>
              <w:snapToGrid w:val="0"/>
              <w:spacing w:line="360" w:lineRule="auto"/>
              <w:ind w:firstLine="562"/>
              <w:rPr>
                <w:rFonts w:ascii="仿宋_GB2312" w:hAnsi="仿宋_GB2312" w:eastAsia="仿宋_GB2312" w:cs="宋体"/>
                <w:color w:val="auto"/>
                <w:sz w:val="28"/>
                <w:szCs w:val="22"/>
              </w:rPr>
            </w:pPr>
            <w:r>
              <w:rPr>
                <w:rFonts w:hint="eastAsia" w:ascii="仿宋_GB2312" w:hAnsi="仿宋_GB2312" w:eastAsia="仿宋_GB2312" w:cs="宋体"/>
                <w:b/>
                <w:bCs/>
                <w:color w:val="auto"/>
                <w:sz w:val="28"/>
                <w:szCs w:val="22"/>
              </w:rPr>
              <w:t>主攻方向：</w:t>
            </w:r>
            <w:r>
              <w:rPr>
                <w:rFonts w:hint="eastAsia" w:ascii="仿宋_GB2312" w:hAnsi="仿宋_GB2312" w:eastAsia="仿宋_GB2312" w:cs="宋体"/>
                <w:color w:val="auto"/>
                <w:sz w:val="28"/>
                <w:szCs w:val="22"/>
              </w:rPr>
              <w:t>新能源与智能网联汽车。</w:t>
            </w:r>
          </w:p>
          <w:p>
            <w:pPr>
              <w:pStyle w:val="9"/>
              <w:adjustRightInd w:val="0"/>
              <w:snapToGrid w:val="0"/>
              <w:spacing w:line="360" w:lineRule="auto"/>
              <w:ind w:firstLine="562"/>
              <w:rPr>
                <w:rFonts w:ascii="仿宋_GB2312" w:hAnsi="仿宋_GB2312" w:eastAsia="仿宋_GB2312"/>
                <w:color w:val="auto"/>
                <w:sz w:val="24"/>
                <w:szCs w:val="21"/>
              </w:rPr>
            </w:pPr>
            <w:r>
              <w:rPr>
                <w:rFonts w:hint="eastAsia" w:ascii="仿宋_GB2312" w:hAnsi="仿宋_GB2312" w:eastAsia="仿宋_GB2312" w:cs="宋体"/>
                <w:b/>
                <w:bCs/>
                <w:color w:val="auto"/>
                <w:sz w:val="28"/>
                <w:szCs w:val="22"/>
              </w:rPr>
              <w:t>建设模式：</w:t>
            </w:r>
            <w:r>
              <w:rPr>
                <w:rFonts w:hint="eastAsia" w:ascii="仿宋_GB2312" w:hAnsi="仿宋_GB2312" w:eastAsia="仿宋_GB2312" w:cs="宋体"/>
                <w:color w:val="auto"/>
                <w:sz w:val="28"/>
                <w:szCs w:val="22"/>
              </w:rPr>
              <w:t>建立</w:t>
            </w:r>
            <w:r>
              <w:rPr>
                <w:rFonts w:ascii="仿宋_GB2312" w:hAnsi="仿宋_GB2312" w:eastAsia="仿宋_GB2312" w:cs="宋体"/>
                <w:color w:val="auto"/>
                <w:sz w:val="28"/>
                <w:szCs w:val="22"/>
              </w:rPr>
              <w:t>高额度稳定资助与竞争性资助相结合</w:t>
            </w:r>
            <w:r>
              <w:rPr>
                <w:rFonts w:hint="eastAsia" w:ascii="仿宋_GB2312" w:hAnsi="仿宋_GB2312" w:eastAsia="仿宋_GB2312" w:cs="宋体"/>
                <w:color w:val="auto"/>
                <w:sz w:val="28"/>
                <w:szCs w:val="22"/>
              </w:rPr>
              <w:t>的多元化资金投入机制，采取</w:t>
            </w:r>
            <w:r>
              <w:rPr>
                <w:rFonts w:ascii="仿宋_GB2312" w:hAnsi="仿宋_GB2312" w:eastAsia="仿宋_GB2312" w:cs="宋体"/>
                <w:color w:val="auto"/>
                <w:sz w:val="28"/>
                <w:szCs w:val="22"/>
              </w:rPr>
              <w:t>全聘、</w:t>
            </w:r>
            <w:r>
              <w:rPr>
                <w:rFonts w:hint="eastAsia" w:ascii="仿宋_GB2312" w:hAnsi="仿宋_GB2312" w:eastAsia="仿宋_GB2312" w:cs="宋体"/>
                <w:color w:val="auto"/>
                <w:sz w:val="28"/>
                <w:szCs w:val="22"/>
              </w:rPr>
              <w:t>双聘相结合的人才引进方式，创新科研</w:t>
            </w:r>
            <w:r>
              <w:rPr>
                <w:rFonts w:ascii="仿宋_GB2312" w:hAnsi="仿宋_GB2312" w:eastAsia="仿宋_GB2312" w:cs="宋体"/>
                <w:color w:val="auto"/>
                <w:sz w:val="28"/>
                <w:szCs w:val="22"/>
              </w:rPr>
              <w:t>平台开放</w:t>
            </w:r>
            <w:r>
              <w:rPr>
                <w:rFonts w:hint="eastAsia" w:ascii="仿宋_GB2312" w:hAnsi="仿宋_GB2312" w:eastAsia="仿宋_GB2312" w:cs="宋体"/>
                <w:color w:val="auto"/>
                <w:sz w:val="28"/>
                <w:szCs w:val="22"/>
              </w:rPr>
              <w:t>共享</w:t>
            </w:r>
            <w:r>
              <w:rPr>
                <w:rFonts w:ascii="仿宋_GB2312" w:hAnsi="仿宋_GB2312" w:eastAsia="仿宋_GB2312" w:cs="宋体"/>
                <w:color w:val="auto"/>
                <w:sz w:val="28"/>
                <w:szCs w:val="22"/>
              </w:rPr>
              <w:t>和人才</w:t>
            </w:r>
            <w:r>
              <w:rPr>
                <w:rFonts w:hint="eastAsia" w:ascii="仿宋_GB2312" w:hAnsi="仿宋_GB2312" w:eastAsia="仿宋_GB2312" w:cs="宋体"/>
                <w:color w:val="auto"/>
                <w:sz w:val="28"/>
                <w:szCs w:val="22"/>
              </w:rPr>
              <w:t>自由</w:t>
            </w:r>
            <w:r>
              <w:rPr>
                <w:rFonts w:ascii="仿宋_GB2312" w:hAnsi="仿宋_GB2312" w:eastAsia="仿宋_GB2312" w:cs="宋体"/>
                <w:color w:val="auto"/>
                <w:sz w:val="28"/>
                <w:szCs w:val="22"/>
              </w:rPr>
              <w:t>流动</w:t>
            </w:r>
            <w:r>
              <w:rPr>
                <w:rFonts w:hint="eastAsia" w:ascii="仿宋_GB2312" w:hAnsi="仿宋_GB2312" w:eastAsia="仿宋_GB2312" w:cs="宋体"/>
                <w:color w:val="auto"/>
                <w:sz w:val="28"/>
                <w:szCs w:val="22"/>
              </w:rPr>
              <w:t>机制，打造</w:t>
            </w:r>
            <w:r>
              <w:rPr>
                <w:rFonts w:ascii="仿宋_GB2312" w:hAnsi="仿宋_GB2312" w:eastAsia="仿宋_GB2312" w:cs="宋体"/>
                <w:color w:val="auto"/>
                <w:sz w:val="28"/>
                <w:szCs w:val="22"/>
              </w:rPr>
              <w:t>全国领先的汽车</w:t>
            </w:r>
            <w:r>
              <w:rPr>
                <w:rFonts w:hint="eastAsia" w:ascii="仿宋_GB2312" w:hAnsi="仿宋_GB2312" w:eastAsia="仿宋_GB2312" w:cs="宋体"/>
                <w:color w:val="auto"/>
                <w:sz w:val="28"/>
                <w:szCs w:val="22"/>
              </w:rPr>
              <w:t>前沿</w:t>
            </w:r>
            <w:r>
              <w:rPr>
                <w:rFonts w:ascii="仿宋_GB2312" w:hAnsi="仿宋_GB2312" w:eastAsia="仿宋_GB2312" w:cs="宋体"/>
                <w:color w:val="auto"/>
                <w:sz w:val="28"/>
                <w:szCs w:val="22"/>
              </w:rPr>
              <w:t>技术</w:t>
            </w:r>
            <w:r>
              <w:rPr>
                <w:rFonts w:hint="eastAsia" w:ascii="仿宋_GB2312" w:hAnsi="仿宋_GB2312" w:eastAsia="仿宋_GB2312" w:cs="宋体"/>
                <w:color w:val="auto"/>
                <w:sz w:val="28"/>
                <w:szCs w:val="22"/>
              </w:rPr>
              <w:t>创新平台</w:t>
            </w:r>
            <w:r>
              <w:rPr>
                <w:rFonts w:ascii="仿宋_GB2312" w:hAnsi="仿宋_GB2312" w:eastAsia="仿宋_GB2312" w:cs="宋体"/>
                <w:color w:val="auto"/>
                <w:sz w:val="28"/>
                <w:szCs w:val="22"/>
              </w:rPr>
              <w:t>。</w:t>
            </w:r>
          </w:p>
        </w:tc>
      </w:tr>
    </w:tbl>
    <w:p>
      <w:pPr>
        <w:adjustRightInd w:val="0"/>
        <w:snapToGrid w:val="0"/>
        <w:spacing w:before="435" w:beforeLines="100" w:line="360" w:lineRule="auto"/>
        <w:ind w:firstLine="643"/>
        <w:outlineLvl w:val="2"/>
        <w:rPr>
          <w:rFonts w:ascii="楷体_GB2312" w:hAnsi="Times New Roman" w:eastAsia="楷体_GB2312" w:cs="Times New Roman"/>
          <w:b/>
          <w:color w:val="auto"/>
          <w:szCs w:val="32"/>
        </w:rPr>
      </w:pPr>
      <w:r>
        <w:rPr>
          <w:rFonts w:hint="eastAsia" w:ascii="楷体_GB2312" w:hAnsi="Times New Roman" w:eastAsia="楷体_GB2312" w:cs="Times New Roman"/>
          <w:b/>
          <w:color w:val="auto"/>
          <w:szCs w:val="32"/>
        </w:rPr>
        <w:t>3. 加快建设公共技术服务平台</w:t>
      </w:r>
    </w:p>
    <w:p>
      <w:pPr>
        <w:adjustRightInd w:val="0"/>
        <w:snapToGrid w:val="0"/>
        <w:spacing w:line="360" w:lineRule="auto"/>
        <w:ind w:firstLine="640"/>
        <w:rPr>
          <w:rFonts w:ascii="仿宋_GB2312" w:hAnsi="华文中宋" w:cs="Times New Roman"/>
          <w:bCs/>
          <w:color w:val="auto"/>
          <w:szCs w:val="32"/>
          <w:lang w:bidi="ar"/>
        </w:rPr>
      </w:pPr>
      <w:r>
        <w:rPr>
          <w:rFonts w:hint="eastAsia" w:ascii="Calibri" w:hAnsi="Calibri" w:cs="仿宋_GB2312"/>
          <w:color w:val="auto"/>
          <w:lang w:bidi="ar"/>
        </w:rPr>
        <w:t>加强国家检验检测高技术服务业集聚区（武汉）建设，大力引培集研发设计、孵化、检验检测认证、标准制（修）订、培训配套服务等于一体的服务机构。支持智能网联汽车测试、智能网联场景库及仿真测试、国产化半导体材料验证</w:t>
      </w:r>
      <w:r>
        <w:rPr>
          <w:rFonts w:hint="eastAsia" w:ascii="Calibri" w:hAnsi="Calibri" w:cs="仿宋_GB2312"/>
          <w:color w:val="auto"/>
          <w:lang w:eastAsia="zh-Hans" w:bidi="ar"/>
        </w:rPr>
        <w:t>等平台</w:t>
      </w:r>
      <w:r>
        <w:rPr>
          <w:rFonts w:hint="eastAsia" w:ascii="Calibri" w:hAnsi="Calibri" w:cs="仿宋_GB2312"/>
          <w:color w:val="auto"/>
          <w:lang w:bidi="ar"/>
        </w:rPr>
        <w:t>建设</w:t>
      </w:r>
      <w:r>
        <w:rPr>
          <w:rFonts w:hint="eastAsia" w:ascii="Calibri" w:hAnsi="Calibri" w:cs="仿宋_GB2312"/>
          <w:color w:val="auto"/>
          <w:lang w:eastAsia="zh-Hans" w:bidi="ar"/>
        </w:rPr>
        <w:t>，</w:t>
      </w:r>
      <w:r>
        <w:rPr>
          <w:rFonts w:hint="eastAsia" w:ascii="Calibri" w:hAnsi="Calibri" w:cs="仿宋_GB2312"/>
          <w:color w:val="auto"/>
          <w:lang w:bidi="ar"/>
        </w:rPr>
        <w:t>围绕新材料、新能源、高端装备等产业引进和建设一批产品设计、技术开发等</w:t>
      </w:r>
      <w:r>
        <w:rPr>
          <w:rFonts w:hint="eastAsia" w:ascii="Calibri" w:hAnsi="Calibri" w:cs="仿宋_GB2312"/>
          <w:color w:val="auto"/>
          <w:lang w:eastAsia="zh-Hans" w:bidi="ar"/>
        </w:rPr>
        <w:t>专业技术</w:t>
      </w:r>
      <w:r>
        <w:rPr>
          <w:rFonts w:hint="eastAsia" w:ascii="Calibri" w:hAnsi="Calibri" w:cs="仿宋_GB2312"/>
          <w:color w:val="auto"/>
          <w:lang w:bidi="ar"/>
        </w:rPr>
        <w:t>平台</w:t>
      </w:r>
      <w:r>
        <w:rPr>
          <w:rFonts w:hint="eastAsia" w:ascii="仿宋_GB2312" w:hAnsi="华文中宋" w:cs="Times New Roman"/>
          <w:bCs/>
          <w:color w:val="auto"/>
          <w:szCs w:val="32"/>
          <w:lang w:bidi="ar"/>
        </w:rPr>
        <w:t>。推动公共技术服务平台向中小企业开放共享。</w:t>
      </w:r>
    </w:p>
    <w:p>
      <w:pPr>
        <w:widowControl/>
        <w:adjustRightInd w:val="0"/>
        <w:snapToGrid w:val="0"/>
        <w:spacing w:line="360" w:lineRule="auto"/>
        <w:ind w:firstLine="0" w:firstLineChars="0"/>
        <w:jc w:val="left"/>
        <w:rPr>
          <w:rFonts w:ascii="黑体" w:hAnsi="黑体" w:eastAsia="黑体" w:cs="Times New Roman"/>
          <w:b/>
          <w:color w:val="auto"/>
          <w:szCs w:val="32"/>
        </w:rPr>
      </w:pPr>
      <w:r>
        <w:rPr>
          <w:rFonts w:ascii="黑体" w:hAnsi="黑体" w:eastAsia="黑体" w:cs="Times New Roman"/>
          <w:b/>
          <w:color w:val="auto"/>
          <w:szCs w:val="32"/>
        </w:rPr>
        <w:br w:type="page"/>
      </w:r>
    </w:p>
    <w:p>
      <w:pPr>
        <w:autoSpaceDE w:val="0"/>
        <w:autoSpaceDN w:val="0"/>
        <w:adjustRightInd w:val="0"/>
        <w:snapToGrid w:val="0"/>
        <w:spacing w:line="360" w:lineRule="auto"/>
        <w:ind w:firstLine="643"/>
        <w:outlineLvl w:val="0"/>
        <w:rPr>
          <w:rFonts w:ascii="黑体" w:hAnsi="黑体" w:eastAsia="黑体" w:cs="Times New Roman"/>
          <w:b/>
          <w:color w:val="auto"/>
          <w:szCs w:val="32"/>
        </w:rPr>
      </w:pPr>
      <w:bookmarkStart w:id="157" w:name="_Toc30199"/>
      <w:r>
        <w:rPr>
          <w:rFonts w:hint="eastAsia" w:ascii="黑体" w:hAnsi="黑体" w:eastAsia="黑体" w:cs="Times New Roman"/>
          <w:b/>
          <w:color w:val="auto"/>
          <w:szCs w:val="32"/>
        </w:rPr>
        <w:t>五、建设科技</w:t>
      </w:r>
      <w:bookmarkEnd w:id="150"/>
      <w:bookmarkEnd w:id="151"/>
      <w:bookmarkEnd w:id="152"/>
      <w:r>
        <w:rPr>
          <w:rFonts w:hint="eastAsia" w:ascii="黑体" w:hAnsi="黑体" w:eastAsia="黑体" w:cs="Times New Roman"/>
          <w:b/>
          <w:color w:val="auto"/>
          <w:szCs w:val="32"/>
        </w:rPr>
        <w:t>成果转化示范区</w:t>
      </w:r>
      <w:bookmarkEnd w:id="157"/>
    </w:p>
    <w:p>
      <w:pPr>
        <w:adjustRightInd w:val="0"/>
        <w:snapToGrid w:val="0"/>
        <w:spacing w:line="360" w:lineRule="auto"/>
        <w:ind w:firstLine="640"/>
        <w:rPr>
          <w:rFonts w:ascii="仿宋_GB2312" w:hAnsi="等线" w:cs="Times New Roman"/>
          <w:color w:val="auto"/>
          <w:szCs w:val="32"/>
        </w:rPr>
      </w:pPr>
      <w:r>
        <w:rPr>
          <w:rFonts w:hint="eastAsia"/>
          <w:color w:val="auto"/>
        </w:rPr>
        <w:t>以科技成果转化和产业化为主要导向和衡量标准，深入推进产学研协同创新，完善科技成果转化平台，</w:t>
      </w:r>
      <w:r>
        <w:rPr>
          <w:rFonts w:hint="eastAsia" w:ascii="仿宋_GB2312" w:hAnsi="等线" w:cs="Times New Roman"/>
          <w:color w:val="auto"/>
          <w:szCs w:val="32"/>
          <w:lang w:bidi="ar"/>
        </w:rPr>
        <w:t>加强新经济场景建设，不断缩短技术研发到产业化进程。</w:t>
      </w:r>
    </w:p>
    <w:p>
      <w:pPr>
        <w:autoSpaceDE w:val="0"/>
        <w:autoSpaceDN w:val="0"/>
        <w:adjustRightInd w:val="0"/>
        <w:snapToGrid w:val="0"/>
        <w:spacing w:line="360" w:lineRule="auto"/>
        <w:ind w:firstLine="641"/>
        <w:outlineLvl w:val="1"/>
        <w:rPr>
          <w:rFonts w:ascii="华文中宋" w:hAnsi="华文中宋" w:eastAsia="华文中宋"/>
          <w:b/>
          <w:color w:val="auto"/>
          <w:szCs w:val="32"/>
        </w:rPr>
      </w:pPr>
      <w:bookmarkStart w:id="158" w:name="_Toc4437"/>
      <w:bookmarkStart w:id="159" w:name="_Toc20084"/>
      <w:bookmarkStart w:id="160" w:name="_Toc18758"/>
      <w:bookmarkStart w:id="161" w:name="_Toc18781"/>
      <w:bookmarkStart w:id="162" w:name="_Toc22451"/>
      <w:bookmarkStart w:id="163" w:name="_Toc29427"/>
      <w:bookmarkStart w:id="164" w:name="_Toc15305"/>
      <w:bookmarkStart w:id="165" w:name="_Toc32143"/>
      <w:bookmarkStart w:id="166" w:name="_Toc2694"/>
      <w:bookmarkStart w:id="167" w:name="_Toc9122"/>
      <w:r>
        <w:rPr>
          <w:rFonts w:hint="eastAsia" w:ascii="华文中宋" w:hAnsi="华文中宋" w:eastAsia="华文中宋"/>
          <w:b/>
          <w:color w:val="auto"/>
          <w:szCs w:val="32"/>
        </w:rPr>
        <w:t>（一）深化产学研协同创新</w:t>
      </w:r>
      <w:bookmarkEnd w:id="158"/>
    </w:p>
    <w:p>
      <w:pPr>
        <w:adjustRightInd w:val="0"/>
        <w:snapToGrid w:val="0"/>
        <w:spacing w:line="360" w:lineRule="auto"/>
        <w:ind w:firstLine="643"/>
        <w:outlineLvl w:val="2"/>
        <w:rPr>
          <w:rFonts w:ascii="楷体_GB2312" w:hAnsi="Times New Roman" w:eastAsia="楷体_GB2312" w:cs="Times New Roman"/>
          <w:b/>
          <w:color w:val="auto"/>
          <w:szCs w:val="32"/>
        </w:rPr>
      </w:pPr>
      <w:r>
        <w:rPr>
          <w:rFonts w:hint="eastAsia" w:ascii="楷体_GB2312" w:hAnsi="Times New Roman" w:eastAsia="楷体_GB2312" w:cs="Times New Roman"/>
          <w:b/>
          <w:color w:val="auto"/>
          <w:szCs w:val="32"/>
        </w:rPr>
        <w:t>1. 实施</w:t>
      </w:r>
      <w:r>
        <w:rPr>
          <w:rFonts w:hint="eastAsia" w:ascii="楷体_GB2312" w:hAnsi="Times New Roman" w:eastAsia="楷体_GB2312" w:cs="Times New Roman"/>
          <w:b/>
          <w:color w:val="auto"/>
          <w:szCs w:val="32"/>
          <w:lang w:bidi="ar"/>
        </w:rPr>
        <w:t>院士专家引领高端产业发展行动</w:t>
      </w:r>
    </w:p>
    <w:p>
      <w:pPr>
        <w:adjustRightInd w:val="0"/>
        <w:snapToGrid w:val="0"/>
        <w:spacing w:line="360" w:lineRule="auto"/>
        <w:ind w:firstLine="640"/>
        <w:rPr>
          <w:rFonts w:ascii="仿宋_GB2312" w:hAnsi="仿宋_GB2312" w:cs="仿宋_GB2312"/>
          <w:color w:val="auto"/>
        </w:rPr>
      </w:pPr>
      <w:r>
        <w:rPr>
          <w:rFonts w:ascii="Times New Roman" w:hAnsi="Times New Roman" w:cs="Times New Roman"/>
          <w:color w:val="auto"/>
          <w:lang w:bidi="ar"/>
        </w:rPr>
        <w:t>围绕</w:t>
      </w:r>
      <w:r>
        <w:rPr>
          <w:rFonts w:hint="eastAsia" w:ascii="Times New Roman" w:hAnsi="Times New Roman" w:cs="Times New Roman"/>
          <w:color w:val="auto"/>
          <w:lang w:bidi="ar"/>
        </w:rPr>
        <w:t>“</w:t>
      </w:r>
      <w:r>
        <w:rPr>
          <w:rFonts w:ascii="Times New Roman" w:hAnsi="Times New Roman" w:cs="Times New Roman"/>
          <w:color w:val="auto"/>
          <w:lang w:bidi="ar"/>
        </w:rPr>
        <w:t>3</w:t>
      </w:r>
      <w:r>
        <w:rPr>
          <w:rFonts w:hint="eastAsia" w:ascii="Times New Roman" w:hAnsi="Times New Roman" w:cs="Times New Roman"/>
          <w:color w:val="auto"/>
          <w:lang w:bidi="ar"/>
        </w:rPr>
        <w:t>335”</w:t>
      </w:r>
      <w:r>
        <w:rPr>
          <w:rFonts w:ascii="Times New Roman" w:hAnsi="Times New Roman" w:cs="Times New Roman"/>
          <w:color w:val="auto"/>
          <w:lang w:bidi="ar"/>
        </w:rPr>
        <w:t>重点产业领域，</w:t>
      </w:r>
      <w:r>
        <w:rPr>
          <w:rFonts w:hint="eastAsia" w:ascii="Times New Roman" w:hAnsi="Times New Roman" w:cs="Times New Roman"/>
          <w:color w:val="auto"/>
          <w:lang w:bidi="ar"/>
        </w:rPr>
        <w:t>加强院士专家项目库储备建设。</w:t>
      </w:r>
      <w:r>
        <w:rPr>
          <w:rFonts w:ascii="Times New Roman" w:hAnsi="Times New Roman" w:cs="Times New Roman"/>
          <w:color w:val="auto"/>
          <w:lang w:bidi="ar"/>
        </w:rPr>
        <w:t>精准</w:t>
      </w:r>
      <w:r>
        <w:rPr>
          <w:rFonts w:hint="eastAsia" w:ascii="Times New Roman" w:hAnsi="Times New Roman" w:cs="Times New Roman"/>
          <w:color w:val="auto"/>
          <w:lang w:bidi="ar"/>
        </w:rPr>
        <w:t>开展</w:t>
      </w:r>
      <w:r>
        <w:rPr>
          <w:rFonts w:ascii="Times New Roman" w:hAnsi="Times New Roman" w:cs="Times New Roman"/>
          <w:color w:val="auto"/>
          <w:lang w:bidi="ar"/>
        </w:rPr>
        <w:t>院士专家</w:t>
      </w:r>
      <w:r>
        <w:rPr>
          <w:rFonts w:hint="eastAsia" w:ascii="Times New Roman" w:hAnsi="Times New Roman" w:cs="Times New Roman"/>
          <w:color w:val="auto"/>
          <w:lang w:bidi="ar"/>
        </w:rPr>
        <w:t>项目对接</w:t>
      </w:r>
      <w:r>
        <w:rPr>
          <w:rFonts w:ascii="Times New Roman" w:hAnsi="Times New Roman" w:cs="Times New Roman"/>
          <w:color w:val="auto"/>
          <w:lang w:bidi="ar"/>
        </w:rPr>
        <w:t>，</w:t>
      </w:r>
      <w:r>
        <w:rPr>
          <w:rFonts w:hint="eastAsia" w:ascii="Times New Roman" w:hAnsi="Times New Roman" w:cs="Times New Roman"/>
          <w:color w:val="auto"/>
          <w:lang w:bidi="ar"/>
        </w:rPr>
        <w:t>加快推进无人驾驶</w:t>
      </w:r>
      <w:r>
        <w:rPr>
          <w:rFonts w:ascii="Times New Roman" w:hAnsi="Times New Roman" w:cs="Times New Roman"/>
          <w:color w:val="auto"/>
          <w:lang w:bidi="ar"/>
        </w:rPr>
        <w:t>、燃料电池、智能机器人等相关技术成果和重大产业化项目</w:t>
      </w:r>
      <w:r>
        <w:rPr>
          <w:rFonts w:hint="eastAsia" w:ascii="Times New Roman" w:hAnsi="Times New Roman" w:cs="Times New Roman"/>
          <w:color w:val="auto"/>
          <w:lang w:bidi="ar"/>
        </w:rPr>
        <w:t>引进落地</w:t>
      </w:r>
      <w:r>
        <w:rPr>
          <w:rFonts w:hint="eastAsia" w:ascii="Times New Roman" w:hAnsi="Times New Roman" w:cs="Times New Roman"/>
          <w:bCs/>
          <w:color w:val="auto"/>
          <w:szCs w:val="32"/>
          <w:lang w:bidi="ar"/>
        </w:rPr>
        <w:t>，深入</w:t>
      </w:r>
      <w:r>
        <w:rPr>
          <w:rFonts w:hint="eastAsia" w:ascii="仿宋_GB2312" w:hAnsi="仿宋_GB2312" w:cs="仿宋_GB2312"/>
          <w:bCs/>
          <w:color w:val="auto"/>
          <w:szCs w:val="32"/>
          <w:lang w:bidi="ar"/>
        </w:rPr>
        <w:t>探索“引进一个院士，转化一个成果，带动一个产业”</w:t>
      </w:r>
      <w:r>
        <w:rPr>
          <w:rFonts w:hint="eastAsia" w:ascii="仿宋_GB2312" w:hAnsi="仿宋_GB2312" w:cs="仿宋_GB2312"/>
          <w:color w:val="auto"/>
          <w:lang w:bidi="ar"/>
        </w:rPr>
        <w:t>发展模式</w:t>
      </w:r>
      <w:r>
        <w:rPr>
          <w:rFonts w:ascii="Times New Roman" w:hAnsi="Times New Roman" w:cs="Times New Roman"/>
          <w:color w:val="auto"/>
          <w:lang w:bidi="ar"/>
        </w:rPr>
        <w:t>。</w:t>
      </w:r>
      <w:r>
        <w:rPr>
          <w:rFonts w:hint="eastAsia" w:ascii="仿宋_GB2312" w:hAnsi="仿宋_GB2312" w:cs="仿宋_GB2312"/>
          <w:color w:val="auto"/>
          <w:lang w:bidi="ar"/>
        </w:rPr>
        <w:t>到2025年，力争引进20项院士专家成果项目落地转化。</w:t>
      </w:r>
    </w:p>
    <w:p>
      <w:pPr>
        <w:adjustRightInd w:val="0"/>
        <w:snapToGrid w:val="0"/>
        <w:spacing w:line="360" w:lineRule="auto"/>
        <w:ind w:firstLine="643"/>
        <w:outlineLvl w:val="2"/>
        <w:rPr>
          <w:rFonts w:ascii="楷体_GB2312" w:hAnsi="Times New Roman" w:eastAsia="楷体_GB2312" w:cs="Times New Roman"/>
          <w:b/>
          <w:color w:val="auto"/>
          <w:szCs w:val="32"/>
        </w:rPr>
      </w:pPr>
      <w:r>
        <w:rPr>
          <w:rFonts w:hint="eastAsia" w:ascii="楷体_GB2312" w:hAnsi="Times New Roman" w:eastAsia="楷体_GB2312" w:cs="Times New Roman"/>
          <w:b/>
          <w:color w:val="auto"/>
          <w:szCs w:val="32"/>
        </w:rPr>
        <w:t>2. 深入推进新型研发机构建设</w:t>
      </w:r>
    </w:p>
    <w:p>
      <w:pPr>
        <w:adjustRightInd w:val="0"/>
        <w:snapToGrid w:val="0"/>
        <w:spacing w:line="360" w:lineRule="auto"/>
        <w:ind w:firstLine="640"/>
        <w:rPr>
          <w:rFonts w:ascii="仿宋_GB2312" w:hAnsi="仿宋_GB2312" w:cs="仿宋_GB2312"/>
          <w:color w:val="auto"/>
          <w:lang w:bidi="ar"/>
        </w:rPr>
      </w:pPr>
      <w:r>
        <w:rPr>
          <w:rFonts w:hint="eastAsia" w:ascii="仿宋_GB2312" w:hAnsi="仿宋_GB2312" w:cs="仿宋_GB2312"/>
          <w:color w:val="auto"/>
          <w:lang w:bidi="ar"/>
        </w:rPr>
        <w:t>加快建设</w:t>
      </w:r>
      <w:r>
        <w:rPr>
          <w:rFonts w:hint="eastAsia" w:ascii="仿宋_GB2312" w:hAnsi="Calibri" w:cs="仿宋_GB2312"/>
          <w:color w:val="auto"/>
          <w:szCs w:val="32"/>
          <w:lang w:bidi="ar"/>
        </w:rPr>
        <w:t>武汉人工智能与新能源汽车工业技术研究院、</w:t>
      </w:r>
      <w:r>
        <w:rPr>
          <w:rFonts w:hint="eastAsia" w:ascii="仿宋_GB2312" w:hAnsi="仿宋_GB2312" w:cs="仿宋_GB2312"/>
          <w:color w:val="auto"/>
          <w:lang w:bidi="ar"/>
        </w:rPr>
        <w:t>武汉经开区未来技术创新研究院、武汉中科先进院、哈工大机器人武汉研究院，完善高端创新资源配置、新型研发组织、技术转移和硬科技创业孵化等功能。推动武汉产业创新发展研究院在经开区建设分院。围绕新能源、大健康、通用航空等领域，新建一批新型研发机构。支持重点实验室、工程研究中心、校企共建技术研发中心等开展体制机制和治理模式创新，向新型研发机构转型。鼓励新型研发机构建立多元化股权收益激励机制及成果导向的绩效评价机制。</w:t>
      </w:r>
      <w:r>
        <w:rPr>
          <w:rFonts w:hint="eastAsia" w:ascii="仿宋_GB2312" w:hAnsi="Calibri" w:cs="仿宋_GB2312"/>
          <w:color w:val="auto"/>
          <w:szCs w:val="32"/>
          <w:lang w:bidi="ar"/>
        </w:rPr>
        <w:t>到2025年，新型研发机构达到15家。</w:t>
      </w:r>
    </w:p>
    <w:p>
      <w:pPr>
        <w:adjustRightInd w:val="0"/>
        <w:snapToGrid w:val="0"/>
        <w:spacing w:line="360" w:lineRule="auto"/>
        <w:ind w:firstLine="0" w:firstLineChars="0"/>
        <w:jc w:val="center"/>
        <w:outlineLvl w:val="3"/>
        <w:rPr>
          <w:rFonts w:ascii="仿宋_GB2312" w:hAnsi="仿宋_GB2312" w:cs="宋体"/>
          <w:b/>
          <w:color w:val="FF0000"/>
          <w:sz w:val="30"/>
          <w:szCs w:val="30"/>
        </w:rPr>
      </w:pPr>
      <w:r>
        <w:rPr>
          <w:rFonts w:hint="eastAsia" w:ascii="仿宋_GB2312" w:hAnsi="仿宋_GB2312" w:cs="宋体"/>
          <w:b/>
          <w:color w:val="auto"/>
          <w:sz w:val="30"/>
          <w:szCs w:val="30"/>
        </w:rPr>
        <w:t>专栏</w:t>
      </w:r>
      <w:r>
        <w:rPr>
          <w:rFonts w:ascii="仿宋_GB2312" w:hAnsi="仿宋_GB2312" w:cs="宋体"/>
          <w:b/>
          <w:color w:val="auto"/>
          <w:sz w:val="30"/>
          <w:szCs w:val="30"/>
        </w:rPr>
        <w:t xml:space="preserve">5-1 </w:t>
      </w:r>
      <w:r>
        <w:rPr>
          <w:rFonts w:hint="eastAsia" w:ascii="仿宋_GB2312" w:hAnsi="仿宋_GB2312" w:cs="宋体"/>
          <w:b/>
          <w:color w:val="auto"/>
          <w:sz w:val="30"/>
          <w:szCs w:val="30"/>
        </w:rPr>
        <w:t>建设武汉人工智能与新能源汽车工业技术研究院</w:t>
      </w:r>
    </w:p>
    <w:tbl>
      <w:tblPr>
        <w:tblStyle w:val="2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9"/>
              <w:adjustRightInd w:val="0"/>
              <w:snapToGrid w:val="0"/>
              <w:spacing w:line="360" w:lineRule="auto"/>
              <w:ind w:firstLine="562"/>
              <w:rPr>
                <w:rFonts w:ascii="仿宋_GB2312" w:hAnsi="仿宋_GB2312" w:eastAsia="仿宋_GB2312" w:cs="宋体"/>
                <w:color w:val="auto"/>
                <w:sz w:val="28"/>
                <w:szCs w:val="22"/>
              </w:rPr>
            </w:pPr>
            <w:r>
              <w:rPr>
                <w:rFonts w:hint="eastAsia" w:ascii="仿宋_GB2312" w:hAnsi="仿宋_GB2312" w:eastAsia="仿宋_GB2312" w:cs="宋体"/>
                <w:b/>
                <w:bCs/>
                <w:color w:val="auto"/>
                <w:sz w:val="28"/>
                <w:szCs w:val="22"/>
              </w:rPr>
              <w:t>建设主体：</w:t>
            </w:r>
            <w:r>
              <w:rPr>
                <w:rFonts w:hint="eastAsia" w:ascii="仿宋_GB2312" w:hAnsi="仿宋_GB2312" w:eastAsia="仿宋_GB2312" w:cs="宋体"/>
                <w:color w:val="auto"/>
                <w:sz w:val="28"/>
                <w:szCs w:val="22"/>
              </w:rPr>
              <w:t>武汉理工大学、武汉经开区管委会。</w:t>
            </w:r>
          </w:p>
          <w:p>
            <w:pPr>
              <w:pStyle w:val="9"/>
              <w:adjustRightInd w:val="0"/>
              <w:snapToGrid w:val="0"/>
              <w:spacing w:line="360" w:lineRule="auto"/>
              <w:ind w:firstLine="562"/>
              <w:rPr>
                <w:rFonts w:ascii="仿宋_GB2312" w:hAnsi="仿宋_GB2312" w:eastAsia="仿宋_GB2312" w:cs="宋体"/>
                <w:b/>
                <w:bCs/>
                <w:color w:val="auto"/>
                <w:sz w:val="28"/>
                <w:szCs w:val="22"/>
              </w:rPr>
            </w:pPr>
            <w:r>
              <w:rPr>
                <w:rFonts w:hint="eastAsia" w:ascii="仿宋_GB2312" w:hAnsi="仿宋_GB2312" w:eastAsia="仿宋_GB2312" w:cs="宋体"/>
                <w:b/>
                <w:bCs/>
                <w:color w:val="auto"/>
                <w:sz w:val="28"/>
                <w:szCs w:val="22"/>
              </w:rPr>
              <w:t>主攻方向：</w:t>
            </w:r>
            <w:r>
              <w:rPr>
                <w:rFonts w:hint="eastAsia" w:ascii="仿宋_GB2312" w:hAnsi="仿宋_GB2312" w:eastAsia="仿宋_GB2312" w:cs="宋体"/>
                <w:color w:val="auto"/>
                <w:sz w:val="28"/>
                <w:szCs w:val="22"/>
              </w:rPr>
              <w:t>智能网联汽车、智慧交通、智能装备与制造等产业。</w:t>
            </w:r>
          </w:p>
          <w:p>
            <w:pPr>
              <w:pStyle w:val="9"/>
              <w:adjustRightInd w:val="0"/>
              <w:snapToGrid w:val="0"/>
              <w:spacing w:line="360" w:lineRule="auto"/>
              <w:ind w:firstLine="562"/>
              <w:rPr>
                <w:rFonts w:ascii="仿宋_GB2312" w:hAnsi="仿宋_GB2312" w:eastAsia="仿宋_GB2312" w:cs="宋体"/>
                <w:color w:val="auto"/>
                <w:sz w:val="28"/>
                <w:szCs w:val="22"/>
              </w:rPr>
            </w:pPr>
            <w:r>
              <w:rPr>
                <w:rFonts w:hint="eastAsia" w:ascii="仿宋_GB2312" w:hAnsi="仿宋_GB2312" w:eastAsia="仿宋_GB2312" w:cs="宋体"/>
                <w:b/>
                <w:bCs/>
                <w:color w:val="auto"/>
                <w:sz w:val="28"/>
                <w:szCs w:val="22"/>
              </w:rPr>
              <w:t>主要功能：</w:t>
            </w:r>
            <w:r>
              <w:rPr>
                <w:rFonts w:hint="eastAsia" w:ascii="仿宋_GB2312" w:hAnsi="仿宋_GB2312" w:eastAsia="仿宋_GB2312" w:cs="宋体"/>
                <w:color w:val="auto"/>
                <w:sz w:val="28"/>
                <w:szCs w:val="22"/>
              </w:rPr>
              <w:t>建设新能源汽车及关键零部件、智能网联汽车、道路智能交通技术、水路智能交通技术、智能制造与装备、智能感知与决策、智能新材料与器件等创新平台，通过整合优质资源、集聚创新创业要素，大力开展创新人才培养、科学理论研究、科技成果转化和科技企业孵化，打造“人工智能+汽车、交通、装备”的产业示范基地和创新人才高地。</w:t>
            </w:r>
          </w:p>
        </w:tc>
      </w:tr>
    </w:tbl>
    <w:p>
      <w:pPr>
        <w:pStyle w:val="2"/>
        <w:adjustRightInd w:val="0"/>
        <w:snapToGrid w:val="0"/>
        <w:spacing w:line="360" w:lineRule="auto"/>
        <w:ind w:firstLine="640"/>
        <w:rPr>
          <w:rFonts w:hint="default" w:ascii="仿宋_GB2312" w:hAnsi="仿宋_GB2312"/>
          <w:lang w:bidi="ar"/>
        </w:rPr>
      </w:pPr>
    </w:p>
    <w:p>
      <w:pPr>
        <w:adjustRightInd w:val="0"/>
        <w:snapToGrid w:val="0"/>
        <w:spacing w:line="360" w:lineRule="auto"/>
        <w:ind w:firstLine="0" w:firstLineChars="0"/>
        <w:jc w:val="center"/>
        <w:outlineLvl w:val="3"/>
        <w:rPr>
          <w:rFonts w:ascii="仿宋_GB2312" w:hAnsi="仿宋_GB2312" w:cs="宋体"/>
          <w:b/>
          <w:sz w:val="30"/>
          <w:szCs w:val="30"/>
        </w:rPr>
      </w:pPr>
      <w:r>
        <w:rPr>
          <w:rFonts w:hint="eastAsia" w:ascii="仿宋_GB2312" w:hAnsi="仿宋_GB2312" w:cs="宋体"/>
          <w:b/>
          <w:sz w:val="30"/>
          <w:szCs w:val="30"/>
        </w:rPr>
        <w:t>专栏</w:t>
      </w:r>
      <w:r>
        <w:rPr>
          <w:rFonts w:ascii="仿宋_GB2312" w:hAnsi="仿宋_GB2312" w:cs="宋体"/>
          <w:b/>
          <w:sz w:val="30"/>
          <w:szCs w:val="30"/>
        </w:rPr>
        <w:t xml:space="preserve">5-2 </w:t>
      </w:r>
      <w:r>
        <w:rPr>
          <w:rFonts w:hint="eastAsia" w:ascii="仿宋_GB2312" w:hAnsi="仿宋_GB2312" w:cs="宋体"/>
          <w:b/>
          <w:sz w:val="30"/>
          <w:szCs w:val="30"/>
        </w:rPr>
        <w:t>建设武汉经开区未来技术创新研究院</w:t>
      </w:r>
    </w:p>
    <w:tbl>
      <w:tblPr>
        <w:tblStyle w:val="2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9"/>
              <w:adjustRightInd w:val="0"/>
              <w:snapToGrid w:val="0"/>
              <w:spacing w:line="360" w:lineRule="auto"/>
              <w:ind w:firstLine="562"/>
              <w:rPr>
                <w:rFonts w:ascii="仿宋_GB2312" w:hAnsi="仿宋_GB2312" w:eastAsia="仿宋_GB2312" w:cs="宋体"/>
                <w:color w:val="auto"/>
                <w:sz w:val="28"/>
                <w:szCs w:val="22"/>
              </w:rPr>
            </w:pPr>
            <w:r>
              <w:rPr>
                <w:rFonts w:hint="eastAsia" w:ascii="仿宋_GB2312" w:hAnsi="仿宋_GB2312" w:eastAsia="仿宋_GB2312" w:cs="宋体"/>
                <w:b/>
                <w:bCs/>
                <w:color w:val="auto"/>
                <w:sz w:val="28"/>
                <w:szCs w:val="22"/>
              </w:rPr>
              <w:t>建设主体：</w:t>
            </w:r>
            <w:r>
              <w:rPr>
                <w:rFonts w:hint="eastAsia" w:ascii="仿宋_GB2312" w:hAnsi="仿宋_GB2312" w:eastAsia="仿宋_GB2312" w:cs="宋体"/>
                <w:color w:val="auto"/>
                <w:sz w:val="28"/>
                <w:szCs w:val="22"/>
              </w:rPr>
              <w:t>华中科技大学、武汉经开区管委会。</w:t>
            </w:r>
          </w:p>
          <w:p>
            <w:pPr>
              <w:pStyle w:val="9"/>
              <w:adjustRightInd w:val="0"/>
              <w:snapToGrid w:val="0"/>
              <w:spacing w:line="360" w:lineRule="auto"/>
              <w:ind w:firstLine="562"/>
              <w:rPr>
                <w:rFonts w:ascii="仿宋_GB2312" w:hAnsi="仿宋_GB2312" w:eastAsia="仿宋_GB2312" w:cs="宋体"/>
                <w:color w:val="auto"/>
                <w:sz w:val="28"/>
                <w:szCs w:val="22"/>
              </w:rPr>
            </w:pPr>
            <w:r>
              <w:rPr>
                <w:rFonts w:hint="eastAsia" w:ascii="仿宋_GB2312" w:hAnsi="仿宋_GB2312" w:eastAsia="仿宋_GB2312" w:cs="宋体"/>
                <w:b/>
                <w:bCs/>
                <w:color w:val="auto"/>
                <w:sz w:val="28"/>
                <w:szCs w:val="22"/>
              </w:rPr>
              <w:t>主攻方向：</w:t>
            </w:r>
            <w:r>
              <w:rPr>
                <w:rFonts w:hint="eastAsia" w:ascii="仿宋_GB2312" w:hAnsi="仿宋_GB2312" w:eastAsia="仿宋_GB2312" w:cs="宋体"/>
                <w:color w:val="auto"/>
                <w:sz w:val="28"/>
                <w:szCs w:val="22"/>
              </w:rPr>
              <w:t>汽车、新材料、新能源、数字经济、生命健康、高端装备、航空航天等产业。</w:t>
            </w:r>
          </w:p>
          <w:p>
            <w:pPr>
              <w:pStyle w:val="9"/>
              <w:adjustRightInd w:val="0"/>
              <w:snapToGrid w:val="0"/>
              <w:spacing w:line="360" w:lineRule="auto"/>
              <w:ind w:firstLine="562"/>
              <w:rPr>
                <w:rFonts w:ascii="仿宋_GB2312" w:hAnsi="仿宋_GB2312" w:eastAsia="仿宋_GB2312"/>
                <w:color w:val="auto"/>
                <w:sz w:val="24"/>
                <w:szCs w:val="21"/>
              </w:rPr>
            </w:pPr>
            <w:r>
              <w:rPr>
                <w:rFonts w:hint="eastAsia" w:ascii="仿宋_GB2312" w:hAnsi="仿宋_GB2312" w:eastAsia="仿宋_GB2312" w:cs="宋体"/>
                <w:b/>
                <w:bCs/>
                <w:color w:val="auto"/>
                <w:sz w:val="28"/>
                <w:szCs w:val="22"/>
              </w:rPr>
              <w:t>主要功能：</w:t>
            </w:r>
            <w:r>
              <w:rPr>
                <w:rFonts w:hint="eastAsia" w:ascii="仿宋_GB2312" w:hAnsi="仿宋_GB2312" w:eastAsia="仿宋_GB2312" w:cs="宋体"/>
                <w:color w:val="auto"/>
                <w:sz w:val="28"/>
                <w:szCs w:val="22"/>
              </w:rPr>
              <w:t>以未来技术项目为基础，建设功能完善的专业化技术平台与中试基地，培养和集聚一批高端科研、产业人才，组织承担一批国家级科技项目和企业委托项目，产生一批高质量创新成果，培育孵化一批高质量企业。</w:t>
            </w:r>
          </w:p>
        </w:tc>
      </w:tr>
    </w:tbl>
    <w:p>
      <w:pPr>
        <w:adjustRightInd w:val="0"/>
        <w:snapToGrid w:val="0"/>
        <w:spacing w:before="435" w:beforeLines="100" w:line="360" w:lineRule="auto"/>
        <w:ind w:firstLine="643"/>
        <w:outlineLvl w:val="2"/>
        <w:rPr>
          <w:rFonts w:ascii="楷体_GB2312" w:hAnsi="Times New Roman" w:eastAsia="楷体_GB2312" w:cs="Times New Roman"/>
          <w:b/>
          <w:color w:val="auto"/>
          <w:szCs w:val="32"/>
        </w:rPr>
      </w:pPr>
      <w:r>
        <w:rPr>
          <w:rFonts w:hint="eastAsia" w:ascii="楷体_GB2312" w:hAnsi="Times New Roman" w:eastAsia="楷体_GB2312" w:cs="Times New Roman"/>
          <w:b/>
          <w:color w:val="auto"/>
          <w:szCs w:val="32"/>
        </w:rPr>
        <w:t>3. 引进建设高水平大学和研究院</w:t>
      </w:r>
    </w:p>
    <w:p>
      <w:pPr>
        <w:adjustRightInd w:val="0"/>
        <w:snapToGrid w:val="0"/>
        <w:spacing w:line="360" w:lineRule="auto"/>
        <w:ind w:firstLine="640"/>
        <w:rPr>
          <w:rFonts w:ascii="仿宋_GB2312" w:hAnsi="Calibri" w:cs="仿宋_GB2312"/>
          <w:color w:val="auto"/>
          <w:szCs w:val="32"/>
          <w:lang w:bidi="ar"/>
        </w:rPr>
      </w:pPr>
      <w:r>
        <w:rPr>
          <w:rFonts w:hint="eastAsia" w:ascii="仿宋_GB2312" w:hAnsi="Calibri" w:cs="仿宋_GB2312"/>
          <w:color w:val="auto"/>
          <w:szCs w:val="32"/>
          <w:lang w:bidi="ar"/>
        </w:rPr>
        <w:t>加快推进华中科技大学（军山校区）、武汉大学（军山校区）建设，深入推进与在汉高校合作，通过共育创新创业人才、共建政校企协同创新平台，进一步促进科技成果转化。支持江汉大学系统提升人才培养、学科建设、科技研发、社会服务协同创新能力。围绕智能网联汽车、新材料、新能源等领域，加强与清华大学、北京大学、中科院等知名大学和科研院所合作。</w:t>
      </w:r>
    </w:p>
    <w:p>
      <w:pPr>
        <w:autoSpaceDE w:val="0"/>
        <w:autoSpaceDN w:val="0"/>
        <w:adjustRightInd w:val="0"/>
        <w:snapToGrid w:val="0"/>
        <w:spacing w:line="360" w:lineRule="auto"/>
        <w:ind w:firstLine="641"/>
        <w:outlineLvl w:val="1"/>
        <w:rPr>
          <w:rFonts w:ascii="华文中宋" w:hAnsi="华文中宋" w:eastAsia="华文中宋"/>
          <w:b/>
          <w:color w:val="auto"/>
          <w:szCs w:val="32"/>
        </w:rPr>
      </w:pPr>
      <w:bookmarkStart w:id="168" w:name="_Toc14265"/>
      <w:r>
        <w:rPr>
          <w:rFonts w:hint="eastAsia" w:ascii="华文中宋" w:hAnsi="华文中宋" w:eastAsia="华文中宋"/>
          <w:b/>
          <w:color w:val="auto"/>
          <w:szCs w:val="32"/>
        </w:rPr>
        <w:t>（二）完善科技成果转化</w:t>
      </w:r>
      <w:bookmarkEnd w:id="159"/>
      <w:bookmarkEnd w:id="160"/>
      <w:bookmarkEnd w:id="161"/>
      <w:bookmarkEnd w:id="162"/>
      <w:bookmarkEnd w:id="163"/>
      <w:bookmarkEnd w:id="164"/>
      <w:r>
        <w:rPr>
          <w:rFonts w:hint="eastAsia" w:ascii="华文中宋" w:hAnsi="华文中宋" w:eastAsia="华文中宋"/>
          <w:b/>
          <w:color w:val="auto"/>
          <w:szCs w:val="32"/>
        </w:rPr>
        <w:t>服务体系</w:t>
      </w:r>
      <w:bookmarkEnd w:id="168"/>
    </w:p>
    <w:p>
      <w:pPr>
        <w:adjustRightInd w:val="0"/>
        <w:snapToGrid w:val="0"/>
        <w:spacing w:line="360" w:lineRule="auto"/>
        <w:ind w:firstLine="643"/>
        <w:outlineLvl w:val="2"/>
        <w:rPr>
          <w:rFonts w:ascii="楷体_GB2312" w:hAnsi="Times New Roman" w:eastAsia="楷体_GB2312" w:cs="Times New Roman"/>
          <w:b/>
          <w:color w:val="auto"/>
          <w:szCs w:val="32"/>
        </w:rPr>
      </w:pPr>
      <w:r>
        <w:rPr>
          <w:rFonts w:ascii="楷体_GB2312" w:hAnsi="Times New Roman" w:eastAsia="楷体_GB2312" w:cs="Times New Roman"/>
          <w:b/>
          <w:color w:val="auto"/>
          <w:szCs w:val="32"/>
        </w:rPr>
        <w:t xml:space="preserve">1. </w:t>
      </w:r>
      <w:r>
        <w:rPr>
          <w:rFonts w:hint="eastAsia" w:ascii="楷体_GB2312" w:hAnsi="Times New Roman" w:eastAsia="楷体_GB2312" w:cs="Times New Roman"/>
          <w:b/>
          <w:color w:val="auto"/>
          <w:szCs w:val="32"/>
        </w:rPr>
        <w:t>加强技术转移转化平台建设</w:t>
      </w:r>
    </w:p>
    <w:p>
      <w:pPr>
        <w:adjustRightInd w:val="0"/>
        <w:snapToGrid w:val="0"/>
        <w:spacing w:line="360" w:lineRule="auto"/>
        <w:ind w:firstLine="640"/>
        <w:rPr>
          <w:rFonts w:ascii="Times New Roman" w:hAnsi="Times New Roman" w:cs="Times New Roman"/>
          <w:color w:val="auto"/>
          <w:lang w:bidi="ar"/>
        </w:rPr>
      </w:pPr>
      <w:r>
        <w:rPr>
          <w:rFonts w:hint="eastAsia" w:ascii="Times New Roman" w:hAnsi="Times New Roman" w:cs="Times New Roman"/>
          <w:color w:val="auto"/>
          <w:lang w:bidi="ar"/>
        </w:rPr>
        <w:t>依托国家技术转移中部中心、科惠网、武汉市科技成果转化平台等，打通区内企业与全国技术交易市场线上通道，开展以市场为导向，多渠道、多层次的技术转移服务。</w:t>
      </w:r>
      <w:r>
        <w:rPr>
          <w:rFonts w:ascii="Times New Roman" w:hAnsi="Times New Roman" w:cs="Times New Roman"/>
          <w:color w:val="auto"/>
          <w:lang w:bidi="ar"/>
        </w:rPr>
        <w:t>引进培育市场化技术转移</w:t>
      </w:r>
      <w:r>
        <w:rPr>
          <w:rFonts w:hint="eastAsia" w:ascii="Times New Roman" w:hAnsi="Times New Roman" w:cs="Times New Roman"/>
          <w:color w:val="auto"/>
          <w:lang w:bidi="ar"/>
        </w:rPr>
        <w:t>服务</w:t>
      </w:r>
      <w:r>
        <w:rPr>
          <w:rFonts w:ascii="Times New Roman" w:hAnsi="Times New Roman" w:cs="Times New Roman"/>
          <w:color w:val="auto"/>
          <w:lang w:bidi="ar"/>
        </w:rPr>
        <w:t>机构，构建技术挖掘、技术经纪、技术交易等资源与服务高度融合的技术交易服务体系。联合高校</w:t>
      </w:r>
      <w:r>
        <w:rPr>
          <w:rFonts w:hint="eastAsia" w:ascii="Times New Roman" w:hAnsi="Times New Roman" w:cs="Times New Roman"/>
          <w:color w:val="auto"/>
          <w:lang w:bidi="ar"/>
        </w:rPr>
        <w:t>院所</w:t>
      </w:r>
      <w:r>
        <w:rPr>
          <w:rFonts w:ascii="Times New Roman" w:hAnsi="Times New Roman" w:cs="Times New Roman"/>
          <w:color w:val="auto"/>
          <w:lang w:bidi="ar"/>
        </w:rPr>
        <w:t>与龙头企业，</w:t>
      </w:r>
      <w:r>
        <w:rPr>
          <w:rFonts w:hint="eastAsia" w:ascii="Times New Roman" w:hAnsi="Times New Roman" w:cs="Times New Roman"/>
          <w:color w:val="auto"/>
          <w:lang w:bidi="ar"/>
        </w:rPr>
        <w:t>围绕重点产业打造一批中试</w:t>
      </w:r>
      <w:r>
        <w:rPr>
          <w:rFonts w:hint="eastAsia" w:ascii="Times New Roman" w:hAnsi="Times New Roman" w:cs="Times New Roman"/>
          <w:color w:val="auto"/>
          <w:lang w:eastAsia="zh-Hans" w:bidi="ar"/>
        </w:rPr>
        <w:t>平台</w:t>
      </w:r>
      <w:r>
        <w:rPr>
          <w:rFonts w:ascii="Times New Roman" w:hAnsi="Times New Roman" w:cs="Times New Roman"/>
          <w:color w:val="auto"/>
          <w:lang w:bidi="ar"/>
        </w:rPr>
        <w:t>，挖掘可转化项目成果，提高科技成果转化效率。到2025年，新增市级及以上技术转移示范机构5</w:t>
      </w:r>
      <w:r>
        <w:rPr>
          <w:rFonts w:hint="eastAsia" w:ascii="Times New Roman" w:hAnsi="Times New Roman" w:cs="Times New Roman"/>
          <w:color w:val="auto"/>
          <w:lang w:bidi="ar"/>
        </w:rPr>
        <w:t>家以上。</w:t>
      </w:r>
    </w:p>
    <w:p>
      <w:pPr>
        <w:adjustRightInd w:val="0"/>
        <w:snapToGrid w:val="0"/>
        <w:spacing w:line="360" w:lineRule="auto"/>
        <w:ind w:firstLine="964" w:firstLineChars="300"/>
        <w:outlineLvl w:val="2"/>
        <w:rPr>
          <w:rFonts w:ascii="楷体_GB2312" w:hAnsi="Times New Roman" w:eastAsia="楷体_GB2312" w:cs="Times New Roman"/>
          <w:b/>
          <w:color w:val="FF0000"/>
          <w:szCs w:val="32"/>
        </w:rPr>
      </w:pPr>
      <w:r>
        <w:rPr>
          <w:rFonts w:hint="eastAsia" w:ascii="楷体_GB2312" w:hAnsi="Times New Roman" w:eastAsia="楷体_GB2312" w:cs="Times New Roman"/>
          <w:b/>
          <w:color w:val="auto"/>
          <w:szCs w:val="32"/>
        </w:rPr>
        <w:t>2. 壮大技术经纪人队伍</w:t>
      </w:r>
    </w:p>
    <w:p>
      <w:pPr>
        <w:adjustRightInd w:val="0"/>
        <w:snapToGrid w:val="0"/>
        <w:spacing w:line="360" w:lineRule="auto"/>
        <w:ind w:firstLine="640"/>
        <w:rPr>
          <w:rFonts w:ascii="Calibri" w:hAnsi="Calibri" w:cs="仿宋_GB2312"/>
          <w:color w:val="auto"/>
          <w:lang w:bidi="ar"/>
        </w:rPr>
      </w:pPr>
      <w:r>
        <w:rPr>
          <w:rFonts w:hint="eastAsia" w:ascii="Calibri" w:hAnsi="Calibri" w:cs="仿宋_GB2312"/>
          <w:color w:val="auto"/>
          <w:lang w:bidi="ar"/>
        </w:rPr>
        <w:t>加强与国内外先进科技中介人才培养机构合作，引进和培育一批技术经纪人，率先探索建立汽车领域技术经纪人培养体系。鼓励技术经纪人通过股权激励、专利入股、成果转化绩效激励等方式参与科技成果转化和创新收益分配。大力推进武汉市科技成果转化联络员制度，从区内新型研发机构、孵化器、科技中介机构等选聘联络员，深入对接八大园区，搜集企业需求，促进高校院所科技成果有效转化。</w:t>
      </w:r>
    </w:p>
    <w:p>
      <w:pPr>
        <w:adjustRightInd w:val="0"/>
        <w:snapToGrid w:val="0"/>
        <w:spacing w:line="360" w:lineRule="auto"/>
        <w:ind w:firstLine="643"/>
        <w:outlineLvl w:val="2"/>
        <w:rPr>
          <w:rFonts w:ascii="Calibri" w:hAnsi="Calibri" w:cs="Times New Roman"/>
          <w:color w:val="auto"/>
          <w:lang w:bidi="ar"/>
        </w:rPr>
      </w:pPr>
      <w:bookmarkStart w:id="169" w:name="_Toc2099"/>
      <w:bookmarkStart w:id="170" w:name="_Toc20131"/>
      <w:bookmarkStart w:id="171" w:name="_Toc19941"/>
      <w:r>
        <w:rPr>
          <w:rFonts w:ascii="楷体_GB2312" w:hAnsi="Times New Roman" w:eastAsia="楷体_GB2312" w:cs="Times New Roman"/>
          <w:b/>
          <w:color w:val="auto"/>
          <w:szCs w:val="32"/>
        </w:rPr>
        <w:t xml:space="preserve">3. </w:t>
      </w:r>
      <w:r>
        <w:rPr>
          <w:rFonts w:hint="eastAsia" w:ascii="楷体_GB2312" w:hAnsi="Times New Roman" w:eastAsia="楷体_GB2312" w:cs="Times New Roman"/>
          <w:b/>
          <w:color w:val="auto"/>
          <w:szCs w:val="32"/>
        </w:rPr>
        <w:t>完善科技中介服务</w:t>
      </w:r>
    </w:p>
    <w:p>
      <w:pPr>
        <w:adjustRightInd w:val="0"/>
        <w:snapToGrid w:val="0"/>
        <w:spacing w:line="360" w:lineRule="auto"/>
        <w:ind w:firstLine="640"/>
        <w:rPr>
          <w:color w:val="auto"/>
        </w:rPr>
      </w:pPr>
      <w:r>
        <w:rPr>
          <w:rFonts w:hint="eastAsia" w:ascii="Calibri" w:hAnsi="Calibri" w:cs="Times New Roman"/>
          <w:color w:val="auto"/>
          <w:lang w:bidi="ar"/>
        </w:rPr>
        <w:t>对接北京、上海、广州、深圳等先进地区，引进科技咨询、</w:t>
      </w:r>
      <w:r>
        <w:rPr>
          <w:rFonts w:hint="eastAsia" w:ascii="仿宋_GB2312" w:hAnsi="华文中宋" w:cs="Times New Roman"/>
          <w:bCs/>
          <w:color w:val="auto"/>
          <w:szCs w:val="32"/>
          <w:lang w:bidi="ar"/>
        </w:rPr>
        <w:t>人力资源、法律服务、资产评估、专利服务、信用评级等科技中介服务机构。支持龙头企业牵头成立智能网联汽车、人工智能、智能装备等产业技术创新战略联盟，促进资源对接互通和信息共享。到2025年，科技中介服务机构达到50家。</w:t>
      </w:r>
      <w:bookmarkEnd w:id="165"/>
      <w:bookmarkEnd w:id="166"/>
      <w:bookmarkEnd w:id="167"/>
      <w:bookmarkEnd w:id="169"/>
      <w:bookmarkEnd w:id="170"/>
      <w:bookmarkEnd w:id="171"/>
    </w:p>
    <w:p>
      <w:pPr>
        <w:autoSpaceDE w:val="0"/>
        <w:autoSpaceDN w:val="0"/>
        <w:adjustRightInd w:val="0"/>
        <w:snapToGrid w:val="0"/>
        <w:spacing w:line="360" w:lineRule="auto"/>
        <w:ind w:firstLine="641"/>
        <w:outlineLvl w:val="1"/>
        <w:rPr>
          <w:rFonts w:ascii="华文中宋" w:hAnsi="华文中宋" w:eastAsia="华文中宋"/>
          <w:b/>
          <w:color w:val="auto"/>
          <w:szCs w:val="32"/>
        </w:rPr>
      </w:pPr>
      <w:bookmarkStart w:id="172" w:name="_Toc27788"/>
      <w:bookmarkStart w:id="173" w:name="_Toc8027"/>
      <w:bookmarkStart w:id="174" w:name="_Toc29098"/>
      <w:bookmarkStart w:id="175" w:name="_Toc15332"/>
      <w:bookmarkStart w:id="176" w:name="_Toc11477"/>
      <w:bookmarkStart w:id="177" w:name="_Toc5861"/>
      <w:bookmarkStart w:id="178" w:name="_Toc11206"/>
      <w:r>
        <w:rPr>
          <w:rFonts w:hint="eastAsia" w:ascii="华文中宋" w:hAnsi="华文中宋" w:eastAsia="华文中宋"/>
          <w:b/>
          <w:color w:val="auto"/>
          <w:szCs w:val="32"/>
        </w:rPr>
        <w:t>（三）</w:t>
      </w:r>
      <w:bookmarkEnd w:id="172"/>
      <w:bookmarkEnd w:id="173"/>
      <w:bookmarkEnd w:id="174"/>
      <w:r>
        <w:rPr>
          <w:rFonts w:hint="eastAsia" w:ascii="华文中宋" w:hAnsi="华文中宋" w:eastAsia="华文中宋"/>
          <w:b/>
          <w:color w:val="auto"/>
          <w:szCs w:val="32"/>
        </w:rPr>
        <w:t>加强新经济场景建设</w:t>
      </w:r>
      <w:bookmarkEnd w:id="175"/>
      <w:bookmarkEnd w:id="176"/>
      <w:bookmarkEnd w:id="177"/>
      <w:bookmarkEnd w:id="178"/>
    </w:p>
    <w:p>
      <w:pPr>
        <w:autoSpaceDE w:val="0"/>
        <w:autoSpaceDN w:val="0"/>
        <w:adjustRightInd w:val="0"/>
        <w:snapToGrid w:val="0"/>
        <w:spacing w:line="360" w:lineRule="auto"/>
        <w:ind w:firstLine="640"/>
        <w:rPr>
          <w:rFonts w:ascii="仿宋_GB2312" w:hAnsi="华文中宋"/>
          <w:color w:val="auto"/>
          <w:szCs w:val="32"/>
        </w:rPr>
      </w:pPr>
      <w:r>
        <w:rPr>
          <w:rFonts w:hint="eastAsia"/>
          <w:color w:val="auto"/>
        </w:rPr>
        <w:t>紧抓武汉国家新一代人工智能创新发展试验区建设契机，围绕智能网联汽车、智能制造、数字经济等方面，打造一批创新应用标杆。出台</w:t>
      </w:r>
      <w:r>
        <w:rPr>
          <w:rFonts w:hint="eastAsia" w:ascii="仿宋_GB2312" w:hAnsi="华文中宋"/>
          <w:color w:val="auto"/>
          <w:szCs w:val="32"/>
        </w:rPr>
        <w:t>新经济应用场景建设方案，围绕前沿技术和企业创新发展需求，定期发布应用场景机会清单，面向社会“悬赏”创新产品和方案。研究制定场景应用和开放标准，完善场景应用政策法规体系、数据安全管理以及包容审慎监管制度。</w:t>
      </w:r>
    </w:p>
    <w:p>
      <w:pPr>
        <w:adjustRightInd w:val="0"/>
        <w:snapToGrid w:val="0"/>
        <w:spacing w:line="360" w:lineRule="auto"/>
        <w:ind w:firstLine="0" w:firstLineChars="0"/>
        <w:jc w:val="center"/>
        <w:outlineLvl w:val="3"/>
        <w:rPr>
          <w:rFonts w:ascii="仿宋_GB2312" w:hAnsi="仿宋_GB2312" w:cs="宋体"/>
          <w:b/>
          <w:color w:val="auto"/>
          <w:sz w:val="30"/>
          <w:szCs w:val="30"/>
        </w:rPr>
      </w:pPr>
      <w:r>
        <w:rPr>
          <w:rFonts w:hint="eastAsia" w:ascii="仿宋_GB2312" w:hAnsi="仿宋_GB2312" w:cs="宋体"/>
          <w:b/>
          <w:color w:val="auto"/>
          <w:sz w:val="30"/>
          <w:szCs w:val="30"/>
        </w:rPr>
        <w:t>专栏</w:t>
      </w:r>
      <w:r>
        <w:rPr>
          <w:rFonts w:ascii="仿宋_GB2312" w:hAnsi="仿宋_GB2312" w:cs="宋体"/>
          <w:b/>
          <w:color w:val="auto"/>
          <w:sz w:val="30"/>
          <w:szCs w:val="30"/>
        </w:rPr>
        <w:t xml:space="preserve">5-3 </w:t>
      </w:r>
      <w:r>
        <w:rPr>
          <w:rFonts w:hint="eastAsia" w:ascii="仿宋_GB2312" w:hAnsi="仿宋_GB2312" w:cs="宋体"/>
          <w:b/>
          <w:color w:val="auto"/>
          <w:sz w:val="30"/>
          <w:szCs w:val="30"/>
          <w:lang w:eastAsia="zh-Hans"/>
        </w:rPr>
        <w:t>打造</w:t>
      </w:r>
      <w:r>
        <w:rPr>
          <w:rFonts w:hint="eastAsia" w:ascii="仿宋_GB2312" w:hAnsi="仿宋_GB2312" w:cs="宋体"/>
          <w:b/>
          <w:color w:val="auto"/>
          <w:sz w:val="30"/>
          <w:szCs w:val="30"/>
        </w:rPr>
        <w:t>产业和民生领域应用场景</w:t>
      </w:r>
    </w:p>
    <w:tbl>
      <w:tblPr>
        <w:tblStyle w:val="2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line="360" w:lineRule="auto"/>
              <w:ind w:firstLine="562"/>
              <w:rPr>
                <w:rFonts w:ascii="仿宋_GB2312" w:hAnsi="仿宋_GB2312" w:cs="宋体"/>
                <w:color w:val="FF0000"/>
                <w:sz w:val="28"/>
                <w:szCs w:val="22"/>
              </w:rPr>
            </w:pPr>
            <w:r>
              <w:rPr>
                <w:rFonts w:hint="eastAsia" w:ascii="仿宋_GB2312" w:hAnsi="仿宋_GB2312" w:cs="宋体"/>
                <w:b/>
                <w:bCs/>
                <w:color w:val="auto"/>
                <w:sz w:val="28"/>
                <w:szCs w:val="22"/>
              </w:rPr>
              <w:t>新能源与智能网联汽车场景。</w:t>
            </w:r>
            <w:r>
              <w:rPr>
                <w:rFonts w:hint="eastAsia" w:ascii="仿宋_GB2312" w:hAnsi="仿宋_GB2312" w:cs="宋体"/>
                <w:color w:val="auto"/>
                <w:sz w:val="28"/>
                <w:szCs w:val="22"/>
              </w:rPr>
              <w:t>建设新能源与智能网联汽车封闭测试场。以军山新城为核心建设武汉智能网联汽车示范项目，建立智慧交通综合测试示范基地，部署“</w:t>
            </w:r>
            <w:r>
              <w:rPr>
                <w:rFonts w:ascii="仿宋_GB2312" w:hAnsi="仿宋_GB2312" w:cs="宋体"/>
                <w:color w:val="auto"/>
                <w:sz w:val="28"/>
                <w:szCs w:val="22"/>
              </w:rPr>
              <w:t>5G+V2X”车路协同系统，形成独立成网的车</w:t>
            </w:r>
            <w:r>
              <w:rPr>
                <w:rFonts w:hint="eastAsia" w:ascii="仿宋_GB2312" w:hAnsi="仿宋_GB2312" w:cs="宋体"/>
                <w:color w:val="auto"/>
                <w:sz w:val="28"/>
                <w:szCs w:val="22"/>
              </w:rPr>
              <w:t>联网物联感知体系，加快推进智慧道路应用。有序开放示范道路，重点开展自动驾驶出租车、公交、接驳、物流配送及自动泊车等场景示范应用。</w:t>
            </w:r>
          </w:p>
          <w:p>
            <w:pPr>
              <w:pStyle w:val="7"/>
              <w:widowControl/>
              <w:adjustRightInd w:val="0"/>
              <w:snapToGrid w:val="0"/>
              <w:spacing w:line="360" w:lineRule="auto"/>
              <w:ind w:firstLine="562"/>
              <w:jc w:val="both"/>
              <w:rPr>
                <w:rFonts w:ascii="仿宋_GB2312" w:hAnsi="仿宋_GB2312" w:eastAsia="仿宋_GB2312" w:cs="宋体"/>
                <w:b w:val="0"/>
                <w:strike/>
                <w:color w:val="FF0000"/>
                <w:sz w:val="28"/>
                <w:szCs w:val="22"/>
              </w:rPr>
            </w:pPr>
            <w:r>
              <w:rPr>
                <w:rFonts w:hint="eastAsia" w:ascii="仿宋_GB2312" w:hAnsi="仿宋_GB2312" w:eastAsia="仿宋_GB2312" w:cs="宋体"/>
                <w:bCs/>
                <w:color w:val="auto"/>
                <w:sz w:val="28"/>
                <w:szCs w:val="22"/>
              </w:rPr>
              <w:t>智能制造场景。</w:t>
            </w:r>
            <w:r>
              <w:rPr>
                <w:rFonts w:hint="eastAsia" w:ascii="仿宋_GB2312" w:hAnsi="仿宋_GB2312" w:eastAsia="仿宋_GB2312" w:cs="宋体"/>
                <w:b w:val="0"/>
                <w:color w:val="auto"/>
                <w:sz w:val="28"/>
                <w:szCs w:val="22"/>
              </w:rPr>
              <w:t>实施工业智能化改造专项行动，搭建一批标杆性数字化车间（工厂）等智能制造应用场景，加速企业“上云用数赋智”。推动</w:t>
            </w:r>
            <w:r>
              <w:rPr>
                <w:rFonts w:ascii="仿宋_GB2312" w:hAnsi="仿宋_GB2312" w:eastAsia="仿宋_GB2312" w:cs="宋体"/>
                <w:b w:val="0"/>
                <w:color w:val="auto"/>
                <w:sz w:val="28"/>
                <w:szCs w:val="22"/>
              </w:rPr>
              <w:t>5G</w:t>
            </w:r>
            <w:r>
              <w:rPr>
                <w:rFonts w:hint="eastAsia" w:ascii="仿宋_GB2312" w:hAnsi="仿宋_GB2312" w:eastAsia="仿宋_GB2312" w:cs="宋体"/>
                <w:b w:val="0"/>
                <w:color w:val="auto"/>
                <w:sz w:val="28"/>
                <w:szCs w:val="22"/>
              </w:rPr>
              <w:t>、工业互联网、大数据、云计算等新一代信息技术融合创新，搭建协同研发设计、远程设备操控、设备协同作业、柔性生产制造、厂区智能物流、现场辅助装配等应用场景。</w:t>
            </w:r>
          </w:p>
          <w:p>
            <w:pPr>
              <w:pStyle w:val="7"/>
              <w:widowControl/>
              <w:adjustRightInd w:val="0"/>
              <w:snapToGrid w:val="0"/>
              <w:spacing w:line="360" w:lineRule="auto"/>
              <w:ind w:firstLine="562"/>
              <w:jc w:val="both"/>
              <w:rPr>
                <w:rFonts w:ascii="仿宋_GB2312" w:hAnsi="仿宋_GB2312" w:eastAsia="仿宋_GB2312" w:cs="宋体"/>
                <w:b w:val="0"/>
                <w:color w:val="auto"/>
                <w:sz w:val="28"/>
                <w:szCs w:val="22"/>
              </w:rPr>
            </w:pPr>
            <w:r>
              <w:rPr>
                <w:rFonts w:hint="eastAsia" w:ascii="仿宋_GB2312" w:hAnsi="仿宋_GB2312" w:eastAsia="仿宋_GB2312" w:cs="宋体"/>
                <w:bCs/>
                <w:color w:val="auto"/>
                <w:sz w:val="28"/>
                <w:szCs w:val="22"/>
              </w:rPr>
              <w:t>数字经济场景。</w:t>
            </w:r>
            <w:r>
              <w:rPr>
                <w:rFonts w:hint="eastAsia" w:ascii="仿宋_GB2312" w:hAnsi="仿宋_GB2312" w:eastAsia="仿宋_GB2312" w:cs="宋体"/>
                <w:b w:val="0"/>
                <w:color w:val="auto"/>
                <w:sz w:val="28"/>
                <w:szCs w:val="22"/>
              </w:rPr>
              <w:t>依托春笋、华中智谷、南太子湖创新谷、人工智能科技园等创新园区，搭建一批数字园区应用场景。深化量子保密技术在金融、医疗、能源、交通等领域的应用示范。支持海尔、美的、格力等企业打造集智能家电、智能照明、智能监控等功能于一体的智能家居体验馆。建立数字经济场景创新实验室，通过联合创新孵化培育一批创新型企业。</w:t>
            </w:r>
          </w:p>
          <w:p>
            <w:pPr>
              <w:pStyle w:val="9"/>
              <w:adjustRightInd w:val="0"/>
              <w:snapToGrid w:val="0"/>
              <w:spacing w:line="360" w:lineRule="auto"/>
              <w:ind w:firstLine="562"/>
              <w:rPr>
                <w:rFonts w:ascii="仿宋_GB2312" w:hAnsi="仿宋_GB2312" w:eastAsia="仿宋_GB2312"/>
                <w:color w:val="auto"/>
              </w:rPr>
            </w:pPr>
            <w:r>
              <w:rPr>
                <w:rFonts w:hint="eastAsia" w:ascii="仿宋_GB2312" w:hAnsi="仿宋_GB2312" w:eastAsia="仿宋_GB2312" w:cs="宋体"/>
                <w:b/>
                <w:bCs/>
                <w:color w:val="auto"/>
                <w:sz w:val="28"/>
                <w:szCs w:val="22"/>
              </w:rPr>
              <w:t>科技惠民场景。</w:t>
            </w:r>
            <w:r>
              <w:rPr>
                <w:rFonts w:hint="eastAsia" w:ascii="仿宋_GB2312" w:hAnsi="仿宋_GB2312" w:eastAsia="仿宋_GB2312" w:cs="宋体"/>
                <w:color w:val="auto"/>
                <w:sz w:val="28"/>
                <w:szCs w:val="22"/>
              </w:rPr>
              <w:t>围绕智慧出行、智慧教育、智慧医疗、智慧工地，搭建一批智慧城市应用场景。推进无人机植保、农机无人驾驶、灾害监测、气象保险、智慧温室、生产远程监控、云端智能农业管理、农产品质量安全监管与追溯等智慧农业场景应用创新。围绕社会安全监测预警与控制、重大生产安全事故防控与保障、城镇公共安全风险防控与治理、综合应急处理等领域搭建一批公共安全与应急保障场景。落实碳达峰碳中和要求，开展碳减排绿色技术创新应用。</w:t>
            </w:r>
          </w:p>
        </w:tc>
      </w:tr>
    </w:tbl>
    <w:p>
      <w:pPr>
        <w:autoSpaceDE w:val="0"/>
        <w:autoSpaceDN w:val="0"/>
        <w:adjustRightInd w:val="0"/>
        <w:snapToGrid w:val="0"/>
        <w:spacing w:line="360" w:lineRule="auto"/>
        <w:ind w:firstLine="643"/>
        <w:rPr>
          <w:rFonts w:ascii="黑体" w:hAnsi="黑体" w:eastAsia="黑体" w:cs="Times New Roman"/>
          <w:b/>
          <w:color w:val="auto"/>
          <w:szCs w:val="32"/>
        </w:rPr>
      </w:pPr>
      <w:bookmarkStart w:id="179" w:name="_Toc5884"/>
      <w:bookmarkStart w:id="180" w:name="_Toc2371"/>
      <w:bookmarkStart w:id="181" w:name="_Toc7934"/>
      <w:bookmarkStart w:id="182" w:name="_Toc30074"/>
      <w:bookmarkStart w:id="183" w:name="_Toc22351"/>
      <w:bookmarkStart w:id="184" w:name="_Toc1761"/>
    </w:p>
    <w:p>
      <w:pPr>
        <w:pStyle w:val="2"/>
        <w:adjustRightInd w:val="0"/>
        <w:snapToGrid w:val="0"/>
        <w:spacing w:line="360" w:lineRule="auto"/>
        <w:ind w:firstLine="640"/>
        <w:rPr>
          <w:rFonts w:hint="default"/>
          <w:color w:val="auto"/>
        </w:rPr>
      </w:pPr>
      <w:r>
        <w:rPr>
          <w:color w:val="auto"/>
        </w:rPr>
        <w:br w:type="page"/>
      </w:r>
    </w:p>
    <w:p>
      <w:pPr>
        <w:autoSpaceDE w:val="0"/>
        <w:autoSpaceDN w:val="0"/>
        <w:adjustRightInd w:val="0"/>
        <w:snapToGrid w:val="0"/>
        <w:spacing w:line="360" w:lineRule="auto"/>
        <w:ind w:firstLine="643"/>
        <w:outlineLvl w:val="0"/>
        <w:rPr>
          <w:rFonts w:ascii="黑体" w:hAnsi="黑体" w:eastAsia="黑体" w:cs="Times New Roman"/>
          <w:b/>
          <w:color w:val="auto"/>
          <w:szCs w:val="32"/>
        </w:rPr>
      </w:pPr>
      <w:bookmarkStart w:id="185" w:name="_Toc26592"/>
      <w:r>
        <w:rPr>
          <w:rFonts w:hint="eastAsia" w:ascii="黑体" w:hAnsi="黑体" w:eastAsia="黑体" w:cs="Times New Roman"/>
          <w:b/>
          <w:color w:val="auto"/>
          <w:szCs w:val="32"/>
        </w:rPr>
        <w:t>六、</w:t>
      </w:r>
      <w:bookmarkEnd w:id="179"/>
      <w:bookmarkEnd w:id="180"/>
      <w:bookmarkEnd w:id="181"/>
      <w:r>
        <w:rPr>
          <w:rFonts w:hint="eastAsia" w:ascii="黑体" w:hAnsi="黑体" w:eastAsia="黑体" w:cs="Times New Roman"/>
          <w:b/>
          <w:color w:val="auto"/>
          <w:szCs w:val="32"/>
        </w:rPr>
        <w:t>建设大中小企业</w:t>
      </w:r>
      <w:bookmarkEnd w:id="182"/>
      <w:bookmarkEnd w:id="183"/>
      <w:bookmarkEnd w:id="184"/>
      <w:r>
        <w:rPr>
          <w:rFonts w:hint="eastAsia" w:ascii="黑体" w:hAnsi="黑体" w:eastAsia="黑体" w:cs="Times New Roman"/>
          <w:b/>
          <w:color w:val="auto"/>
          <w:szCs w:val="32"/>
        </w:rPr>
        <w:t>融通创新示范区</w:t>
      </w:r>
      <w:bookmarkEnd w:id="185"/>
    </w:p>
    <w:p>
      <w:pPr>
        <w:adjustRightInd w:val="0"/>
        <w:snapToGrid w:val="0"/>
        <w:spacing w:line="360" w:lineRule="auto"/>
        <w:ind w:firstLine="640"/>
        <w:rPr>
          <w:rFonts w:ascii="仿宋_GB2312" w:hAnsi="华文中宋"/>
          <w:bCs/>
          <w:color w:val="auto"/>
          <w:szCs w:val="32"/>
        </w:rPr>
      </w:pPr>
      <w:r>
        <w:rPr>
          <w:rFonts w:hint="eastAsia" w:ascii="仿宋_GB2312" w:hAnsi="华文中宋"/>
          <w:bCs/>
          <w:color w:val="auto"/>
          <w:szCs w:val="32"/>
        </w:rPr>
        <w:t>壮大科技型中小企业群体</w:t>
      </w:r>
      <w:r>
        <w:rPr>
          <w:rFonts w:hint="eastAsia"/>
          <w:color w:val="auto"/>
        </w:rPr>
        <w:t>，大力培育高新技术企业，加强以瞪羚、独角兽为代表的高成长企业培育，支持大企业开放创新，强化科技企业孵化培育载体支撑，构建</w:t>
      </w:r>
      <w:r>
        <w:rPr>
          <w:rFonts w:hint="eastAsia" w:ascii="仿宋_GB2312" w:hAnsi="华文中宋"/>
          <w:bCs/>
          <w:color w:val="auto"/>
          <w:szCs w:val="32"/>
        </w:rPr>
        <w:t>科技型企业梯度培育体系。</w:t>
      </w:r>
    </w:p>
    <w:p>
      <w:pPr>
        <w:autoSpaceDE w:val="0"/>
        <w:autoSpaceDN w:val="0"/>
        <w:adjustRightInd w:val="0"/>
        <w:snapToGrid w:val="0"/>
        <w:spacing w:line="360" w:lineRule="auto"/>
        <w:ind w:firstLine="641"/>
        <w:outlineLvl w:val="1"/>
        <w:rPr>
          <w:rFonts w:ascii="华文中宋" w:hAnsi="华文中宋" w:eastAsia="华文中宋"/>
          <w:b/>
          <w:color w:val="auto"/>
          <w:szCs w:val="32"/>
        </w:rPr>
      </w:pPr>
      <w:bookmarkStart w:id="186" w:name="_Toc3144"/>
      <w:bookmarkStart w:id="187" w:name="_Toc13076"/>
      <w:bookmarkStart w:id="188" w:name="_Toc13628"/>
      <w:bookmarkStart w:id="189" w:name="_Toc11545"/>
      <w:bookmarkStart w:id="190" w:name="_Toc18219"/>
      <w:bookmarkStart w:id="191" w:name="_Toc14560"/>
      <w:bookmarkStart w:id="192" w:name="_Toc16642"/>
      <w:r>
        <w:rPr>
          <w:rFonts w:hint="eastAsia" w:ascii="华文中宋" w:hAnsi="华文中宋" w:eastAsia="华文中宋"/>
          <w:b/>
          <w:color w:val="auto"/>
          <w:szCs w:val="32"/>
        </w:rPr>
        <w:t>（一）做大创新型企业群体</w:t>
      </w:r>
      <w:bookmarkEnd w:id="186"/>
      <w:bookmarkEnd w:id="187"/>
      <w:bookmarkEnd w:id="188"/>
      <w:bookmarkEnd w:id="189"/>
      <w:bookmarkEnd w:id="190"/>
      <w:bookmarkEnd w:id="191"/>
      <w:bookmarkEnd w:id="192"/>
    </w:p>
    <w:p>
      <w:pPr>
        <w:adjustRightInd w:val="0"/>
        <w:snapToGrid w:val="0"/>
        <w:spacing w:line="360" w:lineRule="auto"/>
        <w:ind w:firstLine="643"/>
        <w:jc w:val="left"/>
        <w:outlineLvl w:val="2"/>
        <w:rPr>
          <w:rFonts w:ascii="楷体_GB2312" w:hAnsi="楷体_GB2312" w:eastAsia="楷体_GB2312"/>
          <w:b/>
          <w:color w:val="auto"/>
        </w:rPr>
      </w:pPr>
      <w:r>
        <w:rPr>
          <w:rFonts w:hint="eastAsia" w:ascii="楷体_GB2312" w:hAnsi="楷体_GB2312" w:eastAsia="楷体_GB2312"/>
          <w:b/>
          <w:color w:val="auto"/>
        </w:rPr>
        <w:t>1. 加大初创企业培育力度</w:t>
      </w:r>
    </w:p>
    <w:p>
      <w:pPr>
        <w:adjustRightInd w:val="0"/>
        <w:snapToGrid w:val="0"/>
        <w:spacing w:line="360" w:lineRule="auto"/>
        <w:ind w:firstLine="640"/>
        <w:rPr>
          <w:rFonts w:ascii="仿宋_GB2312" w:hAnsi="仿宋_GB2312" w:cs="仿宋_GB2312"/>
          <w:color w:val="auto"/>
          <w:kern w:val="0"/>
          <w:szCs w:val="32"/>
        </w:rPr>
      </w:pPr>
      <w:r>
        <w:rPr>
          <w:rFonts w:hint="eastAsia" w:ascii="仿宋_GB2312" w:hAnsi="仿宋_GB2312" w:cs="仿宋_GB2312"/>
          <w:color w:val="auto"/>
          <w:kern w:val="0"/>
          <w:szCs w:val="32"/>
        </w:rPr>
        <w:t>实施“车谷科技创业计划”，聚焦智能网联汽车、轻量化材料、氢能、人工智能等重点领域，</w:t>
      </w:r>
      <w:r>
        <w:rPr>
          <w:rFonts w:hint="eastAsia" w:ascii="仿宋_GB2312" w:hAnsi="华文中宋" w:cs="Times New Roman"/>
          <w:color w:val="auto"/>
          <w:szCs w:val="32"/>
          <w:lang w:bidi="ar"/>
        </w:rPr>
        <w:t>鼓励大企业技术骨干、高层管理人员、研发人员内部创业，支持国内外高层次人才、科研人员、大学生等携科技成果到经开区创新创业。</w:t>
      </w:r>
      <w:r>
        <w:rPr>
          <w:rFonts w:hint="eastAsia" w:ascii="仿宋_GB2312" w:hAnsi="仿宋_GB2312" w:cs="仿宋_GB2312"/>
          <w:color w:val="auto"/>
          <w:kern w:val="0"/>
          <w:szCs w:val="32"/>
        </w:rPr>
        <w:t>建立科技型中小企业培育库，组织企业积极备案入库，着力培育一批科技“小巨人”。到2025年，力争科技型中小企业达到5000家。</w:t>
      </w:r>
    </w:p>
    <w:p>
      <w:pPr>
        <w:adjustRightInd w:val="0"/>
        <w:snapToGrid w:val="0"/>
        <w:spacing w:line="360" w:lineRule="auto"/>
        <w:ind w:firstLine="643"/>
        <w:jc w:val="left"/>
        <w:outlineLvl w:val="2"/>
        <w:rPr>
          <w:rFonts w:ascii="楷体_GB2312" w:hAnsi="楷体_GB2312" w:eastAsia="楷体_GB2312"/>
          <w:b/>
          <w:color w:val="auto"/>
        </w:rPr>
      </w:pPr>
      <w:r>
        <w:rPr>
          <w:rFonts w:hint="eastAsia" w:ascii="楷体_GB2312" w:hAnsi="楷体_GB2312" w:eastAsia="楷体_GB2312"/>
          <w:b/>
          <w:color w:val="auto"/>
        </w:rPr>
        <w:t>2. 实施高新技术企业倍增工程</w:t>
      </w:r>
    </w:p>
    <w:p>
      <w:pPr>
        <w:adjustRightInd w:val="0"/>
        <w:snapToGrid w:val="0"/>
        <w:spacing w:line="360" w:lineRule="auto"/>
        <w:ind w:firstLine="640"/>
        <w:rPr>
          <w:rFonts w:ascii="仿宋_GB2312" w:hAnsi="仿宋_GB2312" w:cs="仿宋_GB2312"/>
          <w:color w:val="auto"/>
          <w:szCs w:val="32"/>
          <w:lang w:bidi="ar"/>
        </w:rPr>
      </w:pPr>
      <w:r>
        <w:rPr>
          <w:rFonts w:hint="eastAsia" w:ascii="仿宋_GB2312" w:hAnsi="仿宋_GB2312" w:cs="仿宋_GB2312"/>
          <w:color w:val="auto"/>
          <w:kern w:val="0"/>
          <w:szCs w:val="32"/>
        </w:rPr>
        <w:t>完善“推荐一批、辅导一批、培育一批”工作机制，建立车谷高新技术企业后备库，深入挖掘专利库、工商库中的创新型企业，</w:t>
      </w:r>
      <w:r>
        <w:rPr>
          <w:rFonts w:hint="eastAsia" w:ascii="仿宋_GB2312" w:hAnsi="仿宋_GB2312" w:cs="仿宋_GB2312"/>
          <w:color w:val="auto"/>
          <w:szCs w:val="32"/>
          <w:lang w:bidi="ar"/>
        </w:rPr>
        <w:t>推动“四上”企业科技转型，</w:t>
      </w:r>
      <w:r>
        <w:rPr>
          <w:rFonts w:hint="eastAsia" w:ascii="仿宋_GB2312" w:hAnsi="仿宋_GB2312" w:cs="仿宋_GB2312"/>
          <w:bCs/>
          <w:color w:val="auto"/>
          <w:szCs w:val="32"/>
          <w:lang w:bidi="ar"/>
        </w:rPr>
        <w:t>大力</w:t>
      </w:r>
      <w:r>
        <w:rPr>
          <w:rFonts w:hint="eastAsia" w:ascii="仿宋_GB2312" w:hAnsi="仿宋_GB2312" w:cs="仿宋_GB2312"/>
          <w:color w:val="auto"/>
          <w:szCs w:val="32"/>
          <w:lang w:bidi="ar"/>
        </w:rPr>
        <w:t>培育“双五”企业</w:t>
      </w:r>
      <w:r>
        <w:rPr>
          <w:rFonts w:hint="eastAsia" w:ascii="仿宋_GB2312" w:hAnsi="仿宋_GB2312" w:cs="仿宋_GB2312"/>
          <w:color w:val="auto"/>
          <w:kern w:val="0"/>
          <w:szCs w:val="32"/>
        </w:rPr>
        <w:t>。</w:t>
      </w:r>
      <w:r>
        <w:rPr>
          <w:rFonts w:hint="eastAsia" w:ascii="仿宋_GB2312" w:hAnsi="仿宋_GB2312" w:cs="仿宋_GB2312"/>
          <w:bCs/>
          <w:color w:val="auto"/>
          <w:szCs w:val="32"/>
          <w:lang w:bidi="ar"/>
        </w:rPr>
        <w:t>完善高新技术企业服务体系，</w:t>
      </w:r>
      <w:r>
        <w:rPr>
          <w:rFonts w:hint="eastAsia" w:ascii="仿宋_GB2312" w:hAnsi="仿宋_GB2312" w:cs="仿宋_GB2312"/>
          <w:color w:val="auto"/>
          <w:szCs w:val="32"/>
          <w:lang w:bidi="ar"/>
        </w:rPr>
        <w:t>联合各园区办、双创孵化载体和科技服务机构，面向科技型中小企业开展高新技术企业申报、进规等专业化服务，推进高新技术企业认定申报常态化、认定服务便利化、认定工作一体化。支持高新技术企业深耕细分领域创新，向“隐形冠军”和“专精特新”方向发展。到2025年，高新技术企业达到3000家。</w:t>
      </w:r>
    </w:p>
    <w:p>
      <w:pPr>
        <w:autoSpaceDE w:val="0"/>
        <w:autoSpaceDN w:val="0"/>
        <w:adjustRightInd w:val="0"/>
        <w:snapToGrid w:val="0"/>
        <w:spacing w:line="360" w:lineRule="auto"/>
        <w:ind w:firstLine="641"/>
        <w:outlineLvl w:val="1"/>
        <w:rPr>
          <w:rFonts w:ascii="华文中宋" w:hAnsi="华文中宋" w:eastAsia="华文中宋"/>
          <w:b/>
          <w:color w:val="auto"/>
          <w:szCs w:val="32"/>
        </w:rPr>
      </w:pPr>
      <w:bookmarkStart w:id="193" w:name="_Toc29189"/>
      <w:bookmarkStart w:id="194" w:name="_Toc30389"/>
      <w:bookmarkStart w:id="195" w:name="_Toc1417"/>
      <w:bookmarkStart w:id="196" w:name="_Toc14101"/>
      <w:bookmarkStart w:id="197" w:name="_Toc29022"/>
      <w:bookmarkStart w:id="198" w:name="_Toc3840"/>
      <w:bookmarkStart w:id="199" w:name="_Toc19129"/>
      <w:r>
        <w:rPr>
          <w:rFonts w:hint="eastAsia" w:ascii="华文中宋" w:hAnsi="华文中宋" w:eastAsia="华文中宋"/>
          <w:b/>
          <w:color w:val="auto"/>
          <w:szCs w:val="32"/>
        </w:rPr>
        <w:t>（二）集聚培育高成长企业</w:t>
      </w:r>
      <w:bookmarkEnd w:id="193"/>
      <w:bookmarkEnd w:id="194"/>
      <w:bookmarkEnd w:id="195"/>
      <w:bookmarkEnd w:id="196"/>
      <w:bookmarkEnd w:id="197"/>
      <w:bookmarkEnd w:id="198"/>
      <w:bookmarkEnd w:id="199"/>
    </w:p>
    <w:p>
      <w:pPr>
        <w:adjustRightInd w:val="0"/>
        <w:snapToGrid w:val="0"/>
        <w:spacing w:line="360" w:lineRule="auto"/>
        <w:ind w:firstLine="643"/>
        <w:jc w:val="left"/>
        <w:outlineLvl w:val="2"/>
        <w:rPr>
          <w:rFonts w:ascii="楷体_GB2312" w:hAnsi="楷体_GB2312" w:eastAsia="楷体_GB2312"/>
          <w:b/>
          <w:color w:val="auto"/>
        </w:rPr>
      </w:pPr>
      <w:r>
        <w:rPr>
          <w:rFonts w:hint="eastAsia" w:ascii="楷体_GB2312" w:hAnsi="楷体_GB2312" w:eastAsia="楷体_GB2312"/>
          <w:b/>
          <w:color w:val="auto"/>
        </w:rPr>
        <w:t>1. 加强高成长企业挖掘培育</w:t>
      </w:r>
    </w:p>
    <w:p>
      <w:pPr>
        <w:widowControl/>
        <w:adjustRightInd w:val="0"/>
        <w:snapToGrid w:val="0"/>
        <w:spacing w:line="360" w:lineRule="auto"/>
        <w:ind w:firstLine="640" w:firstLineChars="0"/>
        <w:rPr>
          <w:rFonts w:ascii="仿宋_GB2312" w:hAnsi="仿宋_GB2312" w:cs="仿宋_GB2312"/>
          <w:color w:val="auto"/>
        </w:rPr>
      </w:pPr>
      <w:r>
        <w:rPr>
          <w:rFonts w:hint="eastAsia" w:ascii="仿宋_GB2312" w:hAnsi="微软雅黑" w:cs="宋体"/>
          <w:bCs/>
          <w:color w:val="auto"/>
          <w:kern w:val="0"/>
          <w:szCs w:val="32"/>
          <w:lang w:bidi="ar"/>
        </w:rPr>
        <w:t>开展“潜在瞪羚-瞪羚-潜在独角兽-独角兽”高成长企业梯度培育，建立常态化发现跟踪与调研机制，研究制定高成长企业梯度遴选标准与培育政策。建立高成长企业培育库，每年开展高成长企业遴选认定，定期发布车谷年度高成长企业梯度榜单，</w:t>
      </w:r>
      <w:r>
        <w:rPr>
          <w:rFonts w:hint="eastAsia" w:ascii="仿宋_GB2312" w:hAnsi="Calibri" w:cs="Times New Roman"/>
          <w:color w:val="auto"/>
          <w:szCs w:val="22"/>
          <w:lang w:bidi="ar"/>
        </w:rPr>
        <w:t>建立企业画像，动态监测企业成长</w:t>
      </w:r>
      <w:r>
        <w:rPr>
          <w:rFonts w:hint="eastAsia" w:ascii="仿宋_GB2312" w:hAnsi="微软雅黑" w:cs="宋体"/>
          <w:bCs/>
          <w:color w:val="auto"/>
          <w:kern w:val="0"/>
          <w:szCs w:val="32"/>
          <w:lang w:bidi="ar"/>
        </w:rPr>
        <w:t>。</w:t>
      </w:r>
    </w:p>
    <w:p>
      <w:pPr>
        <w:adjustRightInd w:val="0"/>
        <w:snapToGrid w:val="0"/>
        <w:spacing w:line="360" w:lineRule="auto"/>
        <w:ind w:firstLine="643"/>
        <w:jc w:val="left"/>
        <w:outlineLvl w:val="2"/>
        <w:rPr>
          <w:rFonts w:ascii="楷体_GB2312" w:hAnsi="楷体_GB2312" w:eastAsia="楷体_GB2312"/>
          <w:b/>
          <w:color w:val="auto"/>
        </w:rPr>
      </w:pPr>
      <w:r>
        <w:rPr>
          <w:rFonts w:hint="eastAsia" w:ascii="楷体_GB2312" w:hAnsi="楷体_GB2312" w:eastAsia="楷体_GB2312"/>
          <w:b/>
          <w:color w:val="auto"/>
        </w:rPr>
        <w:t>2. 打造车谷高成长企业服务平台</w:t>
      </w:r>
    </w:p>
    <w:p>
      <w:pPr>
        <w:adjustRightInd w:val="0"/>
        <w:snapToGrid w:val="0"/>
        <w:spacing w:line="360" w:lineRule="auto"/>
        <w:ind w:firstLine="640"/>
        <w:rPr>
          <w:rFonts w:ascii="仿宋_GB2312" w:hAnsi="Calibri" w:cs="Times New Roman"/>
          <w:color w:val="auto"/>
          <w:szCs w:val="22"/>
          <w:lang w:bidi="ar"/>
        </w:rPr>
      </w:pPr>
      <w:r>
        <w:rPr>
          <w:rFonts w:hint="eastAsia" w:ascii="仿宋_GB2312" w:hAnsi="Calibri" w:cs="Times New Roman"/>
          <w:color w:val="auto"/>
          <w:szCs w:val="22"/>
          <w:lang w:bidi="ar"/>
        </w:rPr>
        <w:t>根据高成长企业成长需求，提供群体咨询服务和“一对一”服务。链接全国创新资源举办高成长企业头脑风暴会、专题培训会等，定期组织相关企业到国内外创新高地游学、交流，围绕企业业务战略、场景创新、投融资等方向为高成长企业发展赋能。</w:t>
      </w:r>
    </w:p>
    <w:p>
      <w:pPr>
        <w:widowControl/>
        <w:adjustRightInd w:val="0"/>
        <w:snapToGrid w:val="0"/>
        <w:spacing w:line="360" w:lineRule="auto"/>
        <w:ind w:firstLine="0" w:firstLineChars="0"/>
        <w:jc w:val="center"/>
        <w:outlineLvl w:val="3"/>
        <w:rPr>
          <w:rFonts w:ascii="仿宋_GB2312" w:hAnsi="仿宋_GB2312" w:cs="宋体"/>
          <w:b/>
          <w:color w:val="auto"/>
          <w:sz w:val="30"/>
          <w:szCs w:val="30"/>
        </w:rPr>
      </w:pPr>
      <w:r>
        <w:rPr>
          <w:rFonts w:hint="eastAsia" w:ascii="仿宋_GB2312" w:hAnsi="仿宋_GB2312" w:cs="宋体"/>
          <w:b/>
          <w:color w:val="auto"/>
          <w:sz w:val="30"/>
          <w:szCs w:val="30"/>
        </w:rPr>
        <w:t>专栏</w:t>
      </w:r>
      <w:r>
        <w:rPr>
          <w:rFonts w:ascii="仿宋_GB2312" w:hAnsi="仿宋_GB2312" w:cs="宋体"/>
          <w:b/>
          <w:color w:val="auto"/>
          <w:sz w:val="30"/>
          <w:szCs w:val="30"/>
        </w:rPr>
        <w:t>6-1 建设车谷</w:t>
      </w:r>
      <w:r>
        <w:rPr>
          <w:rFonts w:hint="eastAsia" w:ascii="仿宋_GB2312" w:hAnsi="仿宋_GB2312" w:cs="宋体"/>
          <w:b/>
          <w:color w:val="auto"/>
          <w:sz w:val="30"/>
          <w:szCs w:val="30"/>
        </w:rPr>
        <w:t>高成长</w:t>
      </w:r>
      <w:r>
        <w:rPr>
          <w:rFonts w:hint="eastAsia" w:ascii="仿宋_GB2312" w:hAnsi="仿宋_GB2312" w:cs="宋体"/>
          <w:b/>
          <w:color w:val="auto"/>
          <w:sz w:val="30"/>
          <w:szCs w:val="30"/>
          <w:lang w:eastAsia="zh-Hans"/>
        </w:rPr>
        <w:t>企业</w:t>
      </w:r>
      <w:r>
        <w:rPr>
          <w:rFonts w:hint="eastAsia" w:ascii="仿宋_GB2312" w:hAnsi="仿宋_GB2312" w:cs="宋体"/>
          <w:b/>
          <w:color w:val="auto"/>
          <w:sz w:val="30"/>
          <w:szCs w:val="30"/>
        </w:rPr>
        <w:t>培育中心</w:t>
      </w:r>
    </w:p>
    <w:tbl>
      <w:tblPr>
        <w:tblStyle w:val="2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line="360" w:lineRule="auto"/>
              <w:ind w:firstLine="562"/>
              <w:rPr>
                <w:rFonts w:ascii="仿宋_GB2312" w:hAnsi="仿宋_GB2312" w:cs="宋体"/>
                <w:color w:val="auto"/>
                <w:sz w:val="28"/>
                <w:szCs w:val="28"/>
              </w:rPr>
            </w:pPr>
            <w:r>
              <w:rPr>
                <w:rFonts w:hint="eastAsia" w:ascii="仿宋_GB2312" w:hAnsi="仿宋_GB2312" w:cs="宋体"/>
                <w:b/>
                <w:color w:val="auto"/>
                <w:sz w:val="28"/>
                <w:szCs w:val="28"/>
                <w:lang w:bidi="ar"/>
              </w:rPr>
              <w:t>发掘培育对象。</w:t>
            </w:r>
            <w:r>
              <w:rPr>
                <w:rFonts w:hint="eastAsia" w:ascii="仿宋_GB2312" w:hAnsi="仿宋_GB2312" w:cs="宋体"/>
                <w:color w:val="auto"/>
                <w:sz w:val="28"/>
                <w:szCs w:val="28"/>
                <w:lang w:bidi="ar"/>
              </w:rPr>
              <w:t>基于瞪羚企业、独角兽企业爆发式成长特点，研究全国高成长企业发展的规律性特征。收集汇总经开区高成长企业相关经营数据，开展典型企业调研，锁定一批潜力企业重点培育。</w:t>
            </w:r>
          </w:p>
          <w:p>
            <w:pPr>
              <w:adjustRightInd w:val="0"/>
              <w:snapToGrid w:val="0"/>
              <w:spacing w:line="360" w:lineRule="auto"/>
              <w:ind w:firstLine="562"/>
              <w:rPr>
                <w:rFonts w:ascii="仿宋_GB2312" w:hAnsi="仿宋_GB2312" w:cs="宋体"/>
                <w:color w:val="auto"/>
                <w:sz w:val="28"/>
                <w:szCs w:val="28"/>
              </w:rPr>
            </w:pPr>
            <w:r>
              <w:rPr>
                <w:rFonts w:hint="eastAsia" w:ascii="仿宋_GB2312" w:hAnsi="仿宋_GB2312" w:cs="宋体"/>
                <w:b/>
                <w:color w:val="auto"/>
                <w:sz w:val="28"/>
                <w:szCs w:val="28"/>
                <w:lang w:bidi="ar"/>
              </w:rPr>
              <w:t>群体咨询服务。</w:t>
            </w:r>
            <w:r>
              <w:rPr>
                <w:rFonts w:hint="eastAsia" w:ascii="仿宋_GB2312" w:hAnsi="仿宋_GB2312" w:cs="宋体"/>
                <w:color w:val="auto"/>
                <w:sz w:val="28"/>
                <w:szCs w:val="28"/>
                <w:lang w:bidi="ar"/>
              </w:rPr>
              <w:t>搭建（潜在）瞪羚、（潜在）独角兽企业、投资机构、政府、服务机构间的交流平台，组织专题培训会、头脑风暴会、私董会等活动，提升企业洞见能力。</w:t>
            </w:r>
          </w:p>
          <w:p>
            <w:pPr>
              <w:widowControl/>
              <w:adjustRightInd w:val="0"/>
              <w:snapToGrid w:val="0"/>
              <w:spacing w:line="360" w:lineRule="auto"/>
              <w:ind w:firstLine="562"/>
              <w:jc w:val="left"/>
              <w:rPr>
                <w:rFonts w:ascii="仿宋_GB2312" w:hAnsi="仿宋_GB2312"/>
                <w:color w:val="auto"/>
              </w:rPr>
            </w:pPr>
            <w:r>
              <w:rPr>
                <w:rFonts w:hint="eastAsia" w:ascii="仿宋_GB2312" w:hAnsi="仿宋_GB2312" w:cs="Times New Roman"/>
                <w:b/>
                <w:color w:val="auto"/>
                <w:sz w:val="28"/>
                <w:szCs w:val="28"/>
                <w:lang w:bidi="ar"/>
              </w:rPr>
              <w:t>“一对一”服务。</w:t>
            </w:r>
            <w:r>
              <w:rPr>
                <w:rFonts w:hint="eastAsia" w:ascii="仿宋_GB2312" w:hAnsi="仿宋_GB2312" w:cs="Times New Roman"/>
                <w:color w:val="auto"/>
                <w:sz w:val="28"/>
                <w:szCs w:val="28"/>
                <w:lang w:bidi="ar"/>
              </w:rPr>
              <w:t>在充分调研的基础上，遴选重点企业进行深度辅导服务，依托专业机构提供商业模式打磨、场景设计、投资对接等定制服务，助推企业快速成长。</w:t>
            </w:r>
          </w:p>
        </w:tc>
      </w:tr>
    </w:tbl>
    <w:p>
      <w:pPr>
        <w:autoSpaceDE w:val="0"/>
        <w:autoSpaceDN w:val="0"/>
        <w:adjustRightInd w:val="0"/>
        <w:snapToGrid w:val="0"/>
        <w:spacing w:before="217" w:beforeLines="50" w:line="360" w:lineRule="auto"/>
        <w:ind w:firstLine="641"/>
        <w:outlineLvl w:val="1"/>
        <w:rPr>
          <w:rFonts w:ascii="华文中宋" w:hAnsi="华文中宋" w:eastAsia="华文中宋"/>
          <w:b/>
          <w:color w:val="auto"/>
          <w:szCs w:val="32"/>
        </w:rPr>
      </w:pPr>
      <w:bookmarkStart w:id="200" w:name="_Toc18393"/>
      <w:bookmarkStart w:id="201" w:name="_Toc10508"/>
      <w:bookmarkStart w:id="202" w:name="_Toc18533"/>
      <w:bookmarkStart w:id="203" w:name="_Toc23829"/>
      <w:bookmarkStart w:id="204" w:name="_Toc12300"/>
      <w:bookmarkStart w:id="205" w:name="_Toc16025"/>
      <w:bookmarkStart w:id="206" w:name="_Toc30186"/>
      <w:r>
        <w:rPr>
          <w:rFonts w:hint="eastAsia" w:ascii="华文中宋" w:hAnsi="华文中宋" w:eastAsia="华文中宋"/>
          <w:b/>
          <w:color w:val="auto"/>
          <w:szCs w:val="32"/>
        </w:rPr>
        <w:t>（三）支持大企业开放创新</w:t>
      </w:r>
      <w:bookmarkEnd w:id="200"/>
      <w:bookmarkEnd w:id="201"/>
      <w:bookmarkEnd w:id="202"/>
      <w:bookmarkEnd w:id="203"/>
      <w:bookmarkEnd w:id="204"/>
      <w:bookmarkEnd w:id="205"/>
      <w:bookmarkEnd w:id="206"/>
    </w:p>
    <w:p>
      <w:pPr>
        <w:adjustRightInd w:val="0"/>
        <w:snapToGrid w:val="0"/>
        <w:spacing w:line="360" w:lineRule="auto"/>
        <w:ind w:firstLine="643"/>
        <w:jc w:val="left"/>
        <w:outlineLvl w:val="2"/>
        <w:rPr>
          <w:rFonts w:ascii="楷体_GB2312" w:hAnsi="楷体_GB2312" w:eastAsia="楷体_GB2312"/>
          <w:b/>
          <w:color w:val="auto"/>
        </w:rPr>
      </w:pPr>
      <w:r>
        <w:rPr>
          <w:rFonts w:hint="eastAsia" w:ascii="楷体_GB2312" w:hAnsi="楷体_GB2312" w:eastAsia="楷体_GB2312"/>
          <w:b/>
          <w:color w:val="auto"/>
        </w:rPr>
        <w:t>1. 支持大企业引领创新</w:t>
      </w:r>
    </w:p>
    <w:p>
      <w:pPr>
        <w:adjustRightInd w:val="0"/>
        <w:snapToGrid w:val="0"/>
        <w:spacing w:line="360" w:lineRule="auto"/>
        <w:ind w:firstLine="640"/>
        <w:rPr>
          <w:rFonts w:ascii="仿宋_GB2312" w:hAnsi="Calibri" w:cs="Times New Roman"/>
          <w:color w:val="auto"/>
          <w:szCs w:val="32"/>
        </w:rPr>
      </w:pPr>
      <w:r>
        <w:rPr>
          <w:rFonts w:hint="eastAsia" w:ascii="仿宋_GB2312" w:hAnsi="Calibri" w:cs="Times New Roman"/>
          <w:color w:val="auto"/>
          <w:szCs w:val="32"/>
        </w:rPr>
        <w:t>支持大企业瞄准智能网联汽车、电子信息材料、氢能等产业链关键环节，积极承担国家重大科技项目，攻克一批“卡脖子”</w:t>
      </w:r>
      <w:r>
        <w:rPr>
          <w:rFonts w:hint="eastAsia" w:ascii="仿宋_GB2312" w:hAnsi="Calibri" w:cs="Times New Roman"/>
          <w:color w:val="auto"/>
          <w:szCs w:val="32"/>
          <w:lang w:eastAsia="zh-Hans"/>
        </w:rPr>
        <w:t>关键核心</w:t>
      </w:r>
      <w:r>
        <w:rPr>
          <w:rFonts w:hint="eastAsia" w:ascii="仿宋_GB2312" w:hAnsi="Calibri" w:cs="Times New Roman"/>
          <w:color w:val="auto"/>
          <w:szCs w:val="32"/>
        </w:rPr>
        <w:t>技术。支持大企业主导或参与制（修）订国际标准、国家标准和行业标准，</w:t>
      </w:r>
      <w:r>
        <w:rPr>
          <w:rFonts w:hint="eastAsia" w:ascii="仿宋_GB2312" w:hAnsi="Calibri" w:cs="Times New Roman"/>
          <w:color w:val="auto"/>
          <w:szCs w:val="32"/>
          <w:lang w:eastAsia="zh-Hans"/>
        </w:rPr>
        <w:t>提升行业话语权</w:t>
      </w:r>
      <w:r>
        <w:rPr>
          <w:rFonts w:hint="eastAsia" w:ascii="仿宋_GB2312" w:hAnsi="Calibri" w:cs="Times New Roman"/>
          <w:color w:val="auto"/>
          <w:szCs w:val="32"/>
        </w:rPr>
        <w:t>。</w:t>
      </w:r>
      <w:r>
        <w:rPr>
          <w:rFonts w:hint="eastAsia"/>
          <w:color w:val="auto"/>
        </w:rPr>
        <w:t>提升大企业整合利用全球资源能力，带领区内产业链上下游企业“抱团出海”。</w:t>
      </w:r>
      <w:r>
        <w:rPr>
          <w:rFonts w:hint="eastAsia" w:ascii="仿宋_GB2312" w:hAnsi="Calibri" w:cs="Times New Roman"/>
          <w:color w:val="auto"/>
          <w:szCs w:val="32"/>
        </w:rPr>
        <w:t>支持大企业收购、兼并、控股拥有核心技术的创新型企业。</w:t>
      </w:r>
    </w:p>
    <w:p>
      <w:pPr>
        <w:adjustRightInd w:val="0"/>
        <w:snapToGrid w:val="0"/>
        <w:spacing w:line="360" w:lineRule="auto"/>
        <w:ind w:firstLine="643"/>
        <w:jc w:val="left"/>
        <w:outlineLvl w:val="2"/>
        <w:rPr>
          <w:rFonts w:ascii="楷体_GB2312" w:hAnsi="楷体_GB2312" w:eastAsia="楷体_GB2312"/>
          <w:b/>
          <w:color w:val="auto"/>
        </w:rPr>
      </w:pPr>
      <w:r>
        <w:rPr>
          <w:rFonts w:hint="eastAsia" w:ascii="楷体_GB2312" w:hAnsi="楷体_GB2312" w:eastAsia="楷体_GB2312"/>
          <w:b/>
          <w:color w:val="auto"/>
        </w:rPr>
        <w:t>2. 推动大中小企业融通创新</w:t>
      </w:r>
    </w:p>
    <w:p>
      <w:pPr>
        <w:adjustRightInd w:val="0"/>
        <w:snapToGrid w:val="0"/>
        <w:spacing w:line="360" w:lineRule="auto"/>
        <w:ind w:firstLine="640"/>
        <w:rPr>
          <w:color w:val="auto"/>
        </w:rPr>
      </w:pPr>
      <w:r>
        <w:rPr>
          <w:rFonts w:hint="eastAsia" w:ascii="仿宋_GB2312" w:hAnsi="Calibri" w:cs="Times New Roman"/>
          <w:color w:val="auto"/>
          <w:szCs w:val="32"/>
        </w:rPr>
        <w:t>支持东风公司牵头，联合高校院所和上下游企业建立</w:t>
      </w:r>
      <w:bookmarkStart w:id="207" w:name="_Hlk106113049"/>
      <w:r>
        <w:rPr>
          <w:rFonts w:hint="eastAsia" w:ascii="仿宋_GB2312" w:hAnsi="Calibri" w:cs="Times New Roman"/>
          <w:color w:val="auto"/>
          <w:szCs w:val="32"/>
        </w:rPr>
        <w:t>车规级芯片产业技术创新联合体</w:t>
      </w:r>
      <w:bookmarkEnd w:id="207"/>
      <w:r>
        <w:rPr>
          <w:rFonts w:hint="eastAsia" w:ascii="仿宋_GB2312" w:hAnsi="Calibri" w:cs="Times New Roman"/>
          <w:color w:val="auto"/>
          <w:szCs w:val="32"/>
        </w:rPr>
        <w:t>。鼓励大企业面向中小企业开放研发平台、中试平台、双创服务平台等创新创业资源，带动中小企业融通创新。</w:t>
      </w:r>
      <w:r>
        <w:rPr>
          <w:rFonts w:hint="eastAsia"/>
          <w:color w:val="auto"/>
        </w:rPr>
        <w:t>支持大企业向中小企业发布产品采购需求清单，鼓励中小企业以专业化分工、服务外包、订单生产等方式与大企业建立稳定的合作关系。</w:t>
      </w:r>
    </w:p>
    <w:p>
      <w:pPr>
        <w:widowControl/>
        <w:adjustRightInd w:val="0"/>
        <w:snapToGrid w:val="0"/>
        <w:spacing w:line="360" w:lineRule="auto"/>
        <w:ind w:firstLine="0" w:firstLineChars="0"/>
        <w:jc w:val="center"/>
        <w:outlineLvl w:val="3"/>
        <w:rPr>
          <w:rFonts w:ascii="仿宋_GB2312" w:hAnsi="仿宋_GB2312" w:cs="宋体"/>
          <w:b/>
          <w:color w:val="auto"/>
          <w:sz w:val="30"/>
          <w:szCs w:val="30"/>
        </w:rPr>
      </w:pPr>
      <w:r>
        <w:rPr>
          <w:rFonts w:hint="eastAsia" w:ascii="仿宋_GB2312" w:hAnsi="仿宋_GB2312" w:cs="宋体"/>
          <w:b/>
          <w:color w:val="auto"/>
          <w:sz w:val="30"/>
          <w:szCs w:val="30"/>
        </w:rPr>
        <w:t>专栏</w:t>
      </w:r>
      <w:r>
        <w:rPr>
          <w:rFonts w:ascii="仿宋_GB2312" w:hAnsi="仿宋_GB2312" w:cs="宋体"/>
          <w:b/>
          <w:color w:val="auto"/>
          <w:sz w:val="30"/>
          <w:szCs w:val="30"/>
        </w:rPr>
        <w:t xml:space="preserve">6-2 </w:t>
      </w:r>
      <w:r>
        <w:rPr>
          <w:rFonts w:hint="eastAsia" w:ascii="仿宋_GB2312" w:hAnsi="仿宋_GB2312" w:cs="宋体"/>
          <w:b/>
          <w:color w:val="auto"/>
          <w:sz w:val="30"/>
          <w:szCs w:val="30"/>
        </w:rPr>
        <w:t>建设车规级芯片产业技术创新联合体</w:t>
      </w:r>
    </w:p>
    <w:tbl>
      <w:tblPr>
        <w:tblStyle w:val="2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line="360" w:lineRule="auto"/>
              <w:ind w:firstLine="562"/>
              <w:rPr>
                <w:rFonts w:ascii="仿宋_GB2312" w:hAnsi="仿宋_GB2312" w:cs="宋体"/>
                <w:color w:val="auto"/>
                <w:sz w:val="28"/>
                <w:szCs w:val="28"/>
                <w:lang w:bidi="ar"/>
              </w:rPr>
            </w:pPr>
            <w:r>
              <w:rPr>
                <w:rFonts w:hint="eastAsia" w:ascii="仿宋_GB2312" w:hAnsi="仿宋_GB2312" w:cs="宋体"/>
                <w:b/>
                <w:color w:val="auto"/>
                <w:sz w:val="28"/>
                <w:szCs w:val="28"/>
                <w:lang w:bidi="ar"/>
              </w:rPr>
              <w:t>建设主体：</w:t>
            </w:r>
            <w:r>
              <w:rPr>
                <w:rFonts w:ascii="仿宋_GB2312" w:hAnsi="仿宋_GB2312" w:cs="宋体"/>
                <w:color w:val="auto"/>
                <w:sz w:val="28"/>
                <w:szCs w:val="28"/>
                <w:lang w:bidi="ar"/>
              </w:rPr>
              <w:t>由东风公司牵头，联合飞思灵微电子、武汉菱电、芯来科技、泰晶科技、锐杰微科技、武汉理工大学、华中科技大学、中国汽车技术研究中心等企事业单位共同组成</w:t>
            </w:r>
            <w:r>
              <w:rPr>
                <w:rFonts w:hint="eastAsia" w:ascii="仿宋_GB2312" w:hAnsi="仿宋_GB2312" w:cs="宋体"/>
                <w:color w:val="auto"/>
                <w:sz w:val="28"/>
                <w:szCs w:val="28"/>
                <w:lang w:bidi="ar"/>
              </w:rPr>
              <w:t>。</w:t>
            </w:r>
          </w:p>
          <w:p>
            <w:pPr>
              <w:adjustRightInd w:val="0"/>
              <w:snapToGrid w:val="0"/>
              <w:spacing w:line="360" w:lineRule="auto"/>
              <w:ind w:firstLine="562"/>
              <w:rPr>
                <w:rFonts w:ascii="仿宋_GB2312" w:hAnsi="仿宋_GB2312" w:cs="宋体"/>
                <w:color w:val="auto"/>
                <w:sz w:val="28"/>
                <w:szCs w:val="28"/>
                <w:lang w:bidi="ar"/>
              </w:rPr>
            </w:pPr>
            <w:r>
              <w:rPr>
                <w:rFonts w:hint="eastAsia" w:ascii="仿宋_GB2312" w:hAnsi="仿宋_GB2312" w:cs="宋体"/>
                <w:b/>
                <w:color w:val="auto"/>
                <w:sz w:val="28"/>
                <w:szCs w:val="28"/>
                <w:lang w:bidi="ar"/>
              </w:rPr>
              <w:t>发展目标：</w:t>
            </w:r>
            <w:r>
              <w:rPr>
                <w:rFonts w:hint="eastAsia" w:ascii="仿宋_GB2312" w:hAnsi="仿宋_GB2312" w:cs="宋体"/>
                <w:color w:val="auto"/>
                <w:sz w:val="28"/>
                <w:szCs w:val="28"/>
                <w:lang w:bidi="ar"/>
              </w:rPr>
              <w:t>瞄准汽车芯片国家重大需求和国际科学前沿，发挥政产学研合力，实现车规级芯片自主定义、设计、制造、封测与控制器开发及应用，</w:t>
            </w:r>
            <w:r>
              <w:rPr>
                <w:rFonts w:ascii="仿宋_GB2312" w:hAnsi="仿宋_GB2312" w:cs="宋体"/>
                <w:color w:val="auto"/>
                <w:sz w:val="28"/>
                <w:szCs w:val="28"/>
                <w:lang w:bidi="ar"/>
              </w:rPr>
              <w:t>打造全国领先、具备湖北特色的汽车芯片产业集群，合力助推中国汽车芯片产业发展壮大</w:t>
            </w:r>
            <w:r>
              <w:rPr>
                <w:rFonts w:hint="eastAsia" w:ascii="仿宋_GB2312" w:hAnsi="仿宋_GB2312" w:cs="宋体"/>
                <w:color w:val="auto"/>
                <w:sz w:val="28"/>
                <w:szCs w:val="28"/>
                <w:lang w:bidi="ar"/>
              </w:rPr>
              <w:t>。</w:t>
            </w:r>
          </w:p>
        </w:tc>
      </w:tr>
    </w:tbl>
    <w:p>
      <w:pPr>
        <w:autoSpaceDE w:val="0"/>
        <w:autoSpaceDN w:val="0"/>
        <w:adjustRightInd w:val="0"/>
        <w:snapToGrid w:val="0"/>
        <w:spacing w:before="217" w:beforeLines="50" w:line="360" w:lineRule="auto"/>
        <w:ind w:firstLine="641"/>
        <w:outlineLvl w:val="1"/>
        <w:rPr>
          <w:rFonts w:ascii="华文中宋" w:hAnsi="华文中宋" w:eastAsia="华文中宋"/>
          <w:b/>
          <w:color w:val="auto"/>
          <w:szCs w:val="32"/>
        </w:rPr>
      </w:pPr>
      <w:bookmarkStart w:id="208" w:name="_Toc14429"/>
      <w:bookmarkStart w:id="209" w:name="_Toc13410"/>
      <w:bookmarkStart w:id="210" w:name="_Toc10949"/>
      <w:bookmarkStart w:id="211" w:name="_Toc17478"/>
      <w:r>
        <w:rPr>
          <w:rFonts w:hint="eastAsia" w:ascii="华文中宋" w:hAnsi="华文中宋" w:eastAsia="华文中宋"/>
          <w:b/>
          <w:color w:val="auto"/>
          <w:szCs w:val="32"/>
        </w:rPr>
        <w:t>（四）加强企业孵化载体建设</w:t>
      </w:r>
      <w:bookmarkEnd w:id="208"/>
      <w:bookmarkEnd w:id="209"/>
      <w:bookmarkEnd w:id="210"/>
      <w:bookmarkEnd w:id="211"/>
    </w:p>
    <w:p>
      <w:pPr>
        <w:adjustRightInd w:val="0"/>
        <w:snapToGrid w:val="0"/>
        <w:spacing w:line="360" w:lineRule="auto"/>
        <w:ind w:firstLine="643"/>
        <w:jc w:val="left"/>
        <w:outlineLvl w:val="2"/>
        <w:rPr>
          <w:rFonts w:ascii="楷体_GB2312" w:hAnsi="楷体_GB2312" w:eastAsia="楷体_GB2312"/>
          <w:b/>
          <w:color w:val="auto"/>
        </w:rPr>
      </w:pPr>
      <w:r>
        <w:rPr>
          <w:rFonts w:hint="eastAsia" w:ascii="楷体_GB2312" w:hAnsi="楷体_GB2312" w:eastAsia="楷体_GB2312"/>
          <w:b/>
          <w:color w:val="auto"/>
        </w:rPr>
        <w:t>1. 打造专业众创空间/孵化器</w:t>
      </w:r>
    </w:p>
    <w:p>
      <w:pPr>
        <w:pStyle w:val="9"/>
        <w:adjustRightInd w:val="0"/>
        <w:snapToGrid w:val="0"/>
        <w:spacing w:line="360" w:lineRule="auto"/>
        <w:ind w:firstLine="640"/>
        <w:rPr>
          <w:color w:val="auto"/>
        </w:rPr>
      </w:pPr>
      <w:r>
        <w:rPr>
          <w:rFonts w:hint="eastAsia" w:eastAsia="仿宋_GB2312" w:asciiTheme="minorHAnsi"/>
          <w:color w:val="auto"/>
        </w:rPr>
        <w:t>支持汽车、新能源、新材料、人工智能等领域龙头企业、新型研发机构等建设专业化众创空间、专业孵化器。支持即联即用投资孵化加速平台围绕智能汽车和智慧城市等领域，开展技术孵化和成果转化。推动启迪协信、华普亿方等孵化载体提档升级，加快创建省级、国家级众创空间/孵化器。加强创业孵化专业服务队伍建设，推动孵化载体拓展技术指导、试验与检测、技术成果评估等创新支撑服务。加强孵化载体分类支持和绩效考核，动态调整众创空间/孵化器管理办法。</w:t>
      </w:r>
    </w:p>
    <w:p>
      <w:pPr>
        <w:adjustRightInd w:val="0"/>
        <w:snapToGrid w:val="0"/>
        <w:spacing w:line="360" w:lineRule="auto"/>
        <w:ind w:firstLine="643"/>
        <w:jc w:val="left"/>
        <w:outlineLvl w:val="2"/>
        <w:rPr>
          <w:rFonts w:ascii="楷体_GB2312" w:hAnsi="楷体_GB2312" w:eastAsia="楷体_GB2312"/>
          <w:b/>
          <w:color w:val="auto"/>
        </w:rPr>
      </w:pPr>
      <w:r>
        <w:rPr>
          <w:rFonts w:hint="eastAsia" w:ascii="楷体_GB2312" w:hAnsi="楷体_GB2312" w:eastAsia="楷体_GB2312"/>
          <w:b/>
          <w:color w:val="auto"/>
        </w:rPr>
        <w:t>2. 推动科技企业加速器建设</w:t>
      </w:r>
    </w:p>
    <w:p>
      <w:pPr>
        <w:pStyle w:val="9"/>
        <w:adjustRightInd w:val="0"/>
        <w:snapToGrid w:val="0"/>
        <w:spacing w:line="360" w:lineRule="auto"/>
        <w:ind w:firstLine="640"/>
        <w:rPr>
          <w:color w:val="auto"/>
        </w:rPr>
      </w:pPr>
      <w:r>
        <w:rPr>
          <w:rFonts w:hint="eastAsia" w:eastAsia="仿宋_GB2312" w:asciiTheme="minorHAnsi"/>
          <w:color w:val="auto"/>
        </w:rPr>
        <w:t>鼓励大企业、科研机构、投资机构等多元主体共同出资，以老旧厂房改造等方式，建设“综合服务楼宇-标准厂房-主题楼宇-柔性空间”梯级加速空间。引进加速器专业化建设运营团队，提高加速器企业服务水平。完善“众创空间/孵化器-加速器-产业园”对接机制。</w:t>
      </w:r>
    </w:p>
    <w:p>
      <w:pPr>
        <w:widowControl/>
        <w:ind w:firstLine="0" w:firstLineChars="0"/>
        <w:jc w:val="left"/>
        <w:rPr>
          <w:rFonts w:ascii="黑体" w:hAnsi="黑体" w:eastAsia="黑体" w:cs="Times New Roman"/>
          <w:b/>
          <w:color w:val="auto"/>
          <w:szCs w:val="32"/>
        </w:rPr>
      </w:pPr>
      <w:bookmarkStart w:id="212" w:name="_Toc17595"/>
      <w:bookmarkStart w:id="213" w:name="_Toc11924"/>
      <w:bookmarkStart w:id="214" w:name="_Toc1457"/>
      <w:bookmarkStart w:id="215" w:name="_Toc21694"/>
      <w:r>
        <w:rPr>
          <w:rFonts w:ascii="黑体" w:hAnsi="黑体" w:eastAsia="黑体" w:cs="Times New Roman"/>
          <w:b/>
          <w:color w:val="auto"/>
          <w:szCs w:val="32"/>
        </w:rPr>
        <w:br w:type="page"/>
      </w:r>
    </w:p>
    <w:p>
      <w:pPr>
        <w:autoSpaceDE w:val="0"/>
        <w:autoSpaceDN w:val="0"/>
        <w:adjustRightInd w:val="0"/>
        <w:snapToGrid w:val="0"/>
        <w:spacing w:line="360" w:lineRule="auto"/>
        <w:ind w:firstLine="643"/>
        <w:outlineLvl w:val="0"/>
        <w:rPr>
          <w:rFonts w:ascii="黑体" w:hAnsi="黑体" w:eastAsia="黑体" w:cs="Times New Roman"/>
          <w:b/>
          <w:color w:val="auto"/>
          <w:szCs w:val="32"/>
        </w:rPr>
      </w:pPr>
      <w:r>
        <w:rPr>
          <w:rFonts w:hint="eastAsia" w:ascii="黑体" w:hAnsi="黑体" w:eastAsia="黑体" w:cs="Times New Roman"/>
          <w:b/>
          <w:color w:val="auto"/>
          <w:szCs w:val="32"/>
        </w:rPr>
        <w:t>七、</w:t>
      </w:r>
      <w:bookmarkEnd w:id="153"/>
      <w:bookmarkEnd w:id="154"/>
      <w:bookmarkEnd w:id="155"/>
      <w:r>
        <w:rPr>
          <w:rFonts w:hint="eastAsia" w:ascii="黑体" w:hAnsi="黑体" w:eastAsia="黑体" w:cs="Times New Roman"/>
          <w:b/>
          <w:color w:val="auto"/>
          <w:szCs w:val="32"/>
        </w:rPr>
        <w:t>加强创新要素集聚配置</w:t>
      </w:r>
      <w:bookmarkEnd w:id="212"/>
      <w:bookmarkEnd w:id="213"/>
      <w:bookmarkEnd w:id="214"/>
      <w:bookmarkEnd w:id="215"/>
    </w:p>
    <w:p>
      <w:pPr>
        <w:adjustRightInd w:val="0"/>
        <w:snapToGrid w:val="0"/>
        <w:spacing w:line="360" w:lineRule="auto"/>
        <w:ind w:firstLine="640"/>
        <w:rPr>
          <w:color w:val="auto"/>
        </w:rPr>
      </w:pPr>
      <w:r>
        <w:rPr>
          <w:rFonts w:hint="eastAsia"/>
          <w:color w:val="auto"/>
        </w:rPr>
        <w:t>立足科技创新和产业发展需求，加快集聚一批科技创新人才，积累一批技术创新成果，汇聚一批科技创新资本，加强数据资源开放共享，为构建区域创新生态提供要素支撑。</w:t>
      </w:r>
    </w:p>
    <w:p>
      <w:pPr>
        <w:autoSpaceDE w:val="0"/>
        <w:autoSpaceDN w:val="0"/>
        <w:adjustRightInd w:val="0"/>
        <w:snapToGrid w:val="0"/>
        <w:spacing w:line="360" w:lineRule="auto"/>
        <w:ind w:firstLine="641"/>
        <w:outlineLvl w:val="1"/>
        <w:rPr>
          <w:rFonts w:ascii="华文中宋" w:hAnsi="华文中宋" w:eastAsia="华文中宋"/>
          <w:b/>
          <w:color w:val="auto"/>
          <w:szCs w:val="32"/>
        </w:rPr>
      </w:pPr>
      <w:bookmarkStart w:id="216" w:name="_Toc10399"/>
      <w:bookmarkStart w:id="217" w:name="_Toc6911"/>
      <w:bookmarkStart w:id="218" w:name="_Toc22076"/>
      <w:bookmarkStart w:id="219" w:name="_Toc20465"/>
      <w:bookmarkStart w:id="220" w:name="_Toc7897"/>
      <w:bookmarkStart w:id="221" w:name="_Toc22659"/>
      <w:bookmarkStart w:id="222" w:name="_Toc24566"/>
      <w:r>
        <w:rPr>
          <w:rFonts w:hint="eastAsia" w:ascii="华文中宋" w:hAnsi="华文中宋" w:eastAsia="华文中宋"/>
          <w:b/>
          <w:color w:val="auto"/>
          <w:szCs w:val="32"/>
        </w:rPr>
        <w:t>（一）加快汇聚创新人才</w:t>
      </w:r>
      <w:bookmarkEnd w:id="216"/>
      <w:bookmarkEnd w:id="217"/>
      <w:bookmarkEnd w:id="218"/>
      <w:bookmarkEnd w:id="219"/>
      <w:bookmarkEnd w:id="220"/>
      <w:bookmarkEnd w:id="221"/>
      <w:bookmarkEnd w:id="222"/>
    </w:p>
    <w:p>
      <w:pPr>
        <w:pStyle w:val="7"/>
        <w:adjustRightInd w:val="0"/>
        <w:snapToGrid w:val="0"/>
        <w:spacing w:line="360" w:lineRule="auto"/>
        <w:ind w:firstLine="643"/>
        <w:rPr>
          <w:rFonts w:ascii="楷体_GB2312" w:hAnsi="楷体_GB2312" w:eastAsia="楷体_GB2312"/>
          <w:color w:val="auto"/>
        </w:rPr>
      </w:pPr>
      <w:r>
        <w:rPr>
          <w:rFonts w:hint="eastAsia" w:ascii="楷体_GB2312" w:hAnsi="楷体_GB2312" w:eastAsia="楷体_GB2312"/>
          <w:color w:val="auto"/>
        </w:rPr>
        <w:t>1. 集聚一批多层次创新人才</w:t>
      </w:r>
    </w:p>
    <w:p>
      <w:pPr>
        <w:adjustRightInd w:val="0"/>
        <w:snapToGrid w:val="0"/>
        <w:spacing w:line="360" w:lineRule="auto"/>
        <w:ind w:firstLine="640"/>
        <w:rPr>
          <w:color w:val="auto"/>
        </w:rPr>
      </w:pPr>
      <w:r>
        <w:rPr>
          <w:rFonts w:hint="eastAsia"/>
          <w:color w:val="auto"/>
          <w:lang w:eastAsia="zh-Hans"/>
        </w:rPr>
        <w:t>升级</w:t>
      </w:r>
      <w:r>
        <w:rPr>
          <w:rFonts w:hint="eastAsia"/>
          <w:color w:val="auto"/>
        </w:rPr>
        <w:t>实施“</w:t>
      </w:r>
      <w:r>
        <w:rPr>
          <w:rFonts w:hint="eastAsia"/>
          <w:color w:val="auto"/>
          <w:lang w:eastAsia="zh-Hans"/>
        </w:rPr>
        <w:t>人才强区</w:t>
      </w:r>
      <w:r>
        <w:rPr>
          <w:rFonts w:hint="eastAsia"/>
          <w:color w:val="auto"/>
        </w:rPr>
        <w:t>”</w:t>
      </w:r>
      <w:r>
        <w:rPr>
          <w:rFonts w:hint="eastAsia"/>
          <w:color w:val="auto"/>
          <w:lang w:eastAsia="zh-Hans"/>
        </w:rPr>
        <w:t>战略</w:t>
      </w:r>
      <w:r>
        <w:rPr>
          <w:rFonts w:hint="eastAsia"/>
          <w:color w:val="auto"/>
        </w:rPr>
        <w:t>，</w:t>
      </w:r>
      <w:r>
        <w:rPr>
          <w:rFonts w:hint="eastAsia"/>
          <w:color w:val="auto"/>
          <w:lang w:eastAsia="zh-Hans"/>
        </w:rPr>
        <w:t>大力引进集聚战略科技人才、产业领军人才、行业高端人才、杰出高管人才、科技服务人才、青年创业人才、卓越工程人才、“春笋行动”优秀青年人才、著名社会人才。</w:t>
      </w:r>
      <w:r>
        <w:rPr>
          <w:rFonts w:hint="eastAsia"/>
          <w:color w:val="auto"/>
        </w:rPr>
        <w:t>围绕新能源与智能网联汽车、新能源、新材料等产业领域，集聚一批“两院”院士</w:t>
      </w:r>
      <w:r>
        <w:rPr>
          <w:rFonts w:hint="eastAsia"/>
          <w:color w:val="auto"/>
          <w:lang w:eastAsia="zh-Hans"/>
        </w:rPr>
        <w:t>、产业领军人才（团队）</w:t>
      </w:r>
      <w:r>
        <w:rPr>
          <w:rFonts w:hint="eastAsia"/>
          <w:color w:val="auto"/>
        </w:rPr>
        <w:t>。</w:t>
      </w:r>
      <w:r>
        <w:rPr>
          <w:rFonts w:hint="eastAsia"/>
          <w:color w:val="auto"/>
          <w:lang w:eastAsia="zh-Hans"/>
        </w:rPr>
        <w:t>实施产业教授“双百行动”，支持高校院所选聘</w:t>
      </w:r>
      <w:r>
        <w:rPr>
          <w:rFonts w:ascii="楷体_GB2312" w:hAnsi="楷体_GB2312" w:eastAsia="楷体_GB2312"/>
          <w:color w:val="auto"/>
          <w:lang w:eastAsia="zh-Hans"/>
        </w:rPr>
        <w:t>100</w:t>
      </w:r>
      <w:r>
        <w:rPr>
          <w:rFonts w:hint="eastAsia"/>
          <w:color w:val="auto"/>
          <w:lang w:eastAsia="zh-Hans"/>
        </w:rPr>
        <w:t>名企业高端人才担任车谷产业教授，支持重点企业、重大创新平台选聘</w:t>
      </w:r>
      <w:r>
        <w:rPr>
          <w:rFonts w:ascii="仿宋_GB2312" w:hAnsi="仿宋_GB2312"/>
          <w:color w:val="auto"/>
          <w:lang w:eastAsia="zh-Hans"/>
        </w:rPr>
        <w:t>100</w:t>
      </w:r>
      <w:r>
        <w:rPr>
          <w:rFonts w:hint="eastAsia"/>
          <w:color w:val="auto"/>
          <w:lang w:eastAsia="zh-Hans"/>
        </w:rPr>
        <w:t>名高等院校、央属科研院所科研人员担任车谷产业教授，推动开展双向科技合作、联合培养人才。实施青年人才“春笋行动”，加快引进一批优秀硕博士和本科生到经开区创新创业</w:t>
      </w:r>
      <w:r>
        <w:rPr>
          <w:rFonts w:hint="eastAsia"/>
          <w:color w:val="auto"/>
        </w:rPr>
        <w:t>。</w:t>
      </w:r>
      <w:r>
        <w:rPr>
          <w:rFonts w:hint="eastAsia"/>
        </w:rPr>
        <w:t>鼓励企业</w:t>
      </w:r>
      <w:r>
        <w:t>建立</w:t>
      </w:r>
      <w:r>
        <w:rPr>
          <w:rFonts w:hint="eastAsia"/>
        </w:rPr>
        <w:t>技能大师工作室，聚焦主导产业工艺创新、微创新需求，精准培育产业急需紧缺技能人才。</w:t>
      </w:r>
      <w:r>
        <w:rPr>
          <w:rFonts w:hint="eastAsia"/>
          <w:color w:val="auto"/>
        </w:rPr>
        <w:t>加快培育科技服务人才，链接国内外知名科技服务机构，引进一批技术经纪人、科技咨询师、孵化器管理人才、创业导师等。</w:t>
      </w:r>
    </w:p>
    <w:p>
      <w:pPr>
        <w:ind w:firstLine="640"/>
        <w:rPr>
          <w:rFonts w:ascii="楷体_GB2312" w:hAnsi="楷体_GB2312" w:eastAsia="楷体_GB2312"/>
          <w:color w:val="auto"/>
        </w:rPr>
      </w:pPr>
      <w:r>
        <w:rPr>
          <w:rFonts w:hint="eastAsia" w:ascii="楷体_GB2312" w:hAnsi="楷体_GB2312" w:eastAsia="楷体_GB2312"/>
          <w:color w:val="auto"/>
        </w:rPr>
        <w:br w:type="page"/>
      </w:r>
    </w:p>
    <w:p>
      <w:pPr>
        <w:pStyle w:val="7"/>
        <w:adjustRightInd w:val="0"/>
        <w:snapToGrid w:val="0"/>
        <w:spacing w:line="360" w:lineRule="auto"/>
        <w:ind w:firstLine="643"/>
        <w:rPr>
          <w:rFonts w:ascii="楷体_GB2312" w:hAnsi="楷体_GB2312" w:eastAsia="楷体_GB2312"/>
          <w:color w:val="auto"/>
        </w:rPr>
      </w:pPr>
      <w:r>
        <w:rPr>
          <w:rFonts w:hint="eastAsia" w:ascii="楷体_GB2312" w:hAnsi="楷体_GB2312" w:eastAsia="楷体_GB2312"/>
          <w:color w:val="auto"/>
        </w:rPr>
        <w:t>2. 打造人才引培服务平台</w:t>
      </w:r>
    </w:p>
    <w:p>
      <w:pPr>
        <w:adjustRightInd w:val="0"/>
        <w:snapToGrid w:val="0"/>
        <w:spacing w:line="360" w:lineRule="auto"/>
        <w:ind w:firstLine="640"/>
        <w:rPr>
          <w:color w:val="auto"/>
        </w:rPr>
      </w:pPr>
      <w:r>
        <w:rPr>
          <w:rFonts w:hint="eastAsia"/>
          <w:color w:val="auto"/>
        </w:rPr>
        <w:t>推动中国武汉人力资源服务产业园车谷园区建设，聚焦人才招聘、培训、评价、开发等功能，引进一批优质人力资源服务机构，为企业和人才提供高效专业服务。支持院士专家工作站、博士后科研工作站、杰出青年流动站等平台建设，鼓励企业建设实践实习基地。优化和丰富“人才一卡通”服务体系，强化功能服务平台信息化建设，拓展人才服务事项。推进“车谷人才创新港”建设，为人才创新创业提供全链条、一站式的政务、商务服务。成立车谷人才集团，强化人才工作市场化运作。</w:t>
      </w:r>
    </w:p>
    <w:p>
      <w:pPr>
        <w:pStyle w:val="7"/>
        <w:adjustRightInd w:val="0"/>
        <w:snapToGrid w:val="0"/>
        <w:spacing w:line="360" w:lineRule="auto"/>
        <w:ind w:firstLine="643"/>
        <w:rPr>
          <w:rFonts w:ascii="楷体_GB2312" w:hAnsi="楷体_GB2312" w:eastAsia="楷体_GB2312"/>
          <w:color w:val="auto"/>
        </w:rPr>
      </w:pPr>
      <w:r>
        <w:rPr>
          <w:rFonts w:hint="eastAsia" w:ascii="楷体_GB2312" w:hAnsi="楷体_GB2312" w:eastAsia="楷体_GB2312"/>
          <w:color w:val="auto"/>
        </w:rPr>
        <w:t>3. 创新人才发展机制</w:t>
      </w:r>
    </w:p>
    <w:p>
      <w:pPr>
        <w:adjustRightInd w:val="0"/>
        <w:snapToGrid w:val="0"/>
        <w:spacing w:line="360" w:lineRule="auto"/>
        <w:ind w:firstLine="640"/>
        <w:rPr>
          <w:color w:val="auto"/>
        </w:rPr>
      </w:pPr>
      <w:r>
        <w:rPr>
          <w:rFonts w:hint="eastAsia"/>
          <w:color w:val="auto"/>
        </w:rPr>
        <w:t>破除户籍、地域、身份、学历、人事关系等障碍，推进人才跨区域自由流动。建立高端外籍人才“绿色通道”，积极争取放宽外籍人才及随行家属永久居留条件支持。畅通高校、企业人才双向流动渠道，支持高校院所人才在重点企业、重大创新平台任职，鼓励高校院所选聘企业高层管理人员、科技研发人员担任兼职教授。开展技能型人才职称评审试点，突出用人单位在职称评审中的主导作用。完善以创新价值、能力、贡献为导向，有利于科技人才潜心研究和创新的评价体系。完善人才考核激励机制，鼓励以知识产权持股、股权期权奖励等方式给予人才中长期激励。设立“车谷人才日”，表彰优秀人才，宣传先进事迹，弘扬爱国奋斗精神，营造爱才敬才用才的良好氛围。</w:t>
      </w:r>
    </w:p>
    <w:p>
      <w:pPr>
        <w:pStyle w:val="7"/>
        <w:adjustRightInd w:val="0"/>
        <w:snapToGrid w:val="0"/>
        <w:spacing w:line="360" w:lineRule="auto"/>
        <w:ind w:firstLine="643"/>
        <w:rPr>
          <w:rFonts w:ascii="楷体_GB2312" w:hAnsi="楷体_GB2312" w:eastAsia="楷体_GB2312"/>
          <w:color w:val="auto"/>
        </w:rPr>
      </w:pPr>
      <w:r>
        <w:rPr>
          <w:rFonts w:hint="eastAsia" w:ascii="楷体_GB2312" w:hAnsi="楷体_GB2312" w:eastAsia="楷体_GB2312"/>
          <w:color w:val="auto"/>
        </w:rPr>
        <w:t>4. 优化人才发展环境</w:t>
      </w:r>
    </w:p>
    <w:p>
      <w:pPr>
        <w:pStyle w:val="9"/>
        <w:adjustRightInd w:val="0"/>
        <w:snapToGrid w:val="0"/>
        <w:spacing w:line="360" w:lineRule="auto"/>
        <w:ind w:firstLine="640"/>
        <w:rPr>
          <w:rFonts w:ascii="Times New Roman" w:hAnsi="Times New Roman" w:eastAsia="仿宋_GB2312" w:cs="Times New Roman"/>
          <w:bCs/>
          <w:color w:val="auto"/>
        </w:rPr>
      </w:pPr>
      <w:r>
        <w:rPr>
          <w:rFonts w:hint="eastAsia" w:ascii="Times New Roman" w:hAnsi="Times New Roman" w:eastAsia="仿宋_GB2312" w:cs="Times New Roman"/>
          <w:bCs/>
          <w:color w:val="auto"/>
        </w:rPr>
        <w:t>提高人才住房配建比例，建设一批院士专家公寓、人才公寓、青年驿站、安居房、国际化社区等。推进爱莎国际学校、武汉经开外国语学校等国际学校建设，大力引进优质教育资源。引进建设综合性医院和专科医院、高端诊疗中心、优质社区门诊等医疗健康机构，畅通高层次人才及其家属就医“绿色通道”，优化外籍人才医疗服务体系。</w:t>
      </w:r>
    </w:p>
    <w:p>
      <w:pPr>
        <w:autoSpaceDE w:val="0"/>
        <w:autoSpaceDN w:val="0"/>
        <w:adjustRightInd w:val="0"/>
        <w:snapToGrid w:val="0"/>
        <w:spacing w:line="360" w:lineRule="auto"/>
        <w:ind w:firstLine="641"/>
        <w:outlineLvl w:val="1"/>
        <w:rPr>
          <w:rFonts w:ascii="华文中宋" w:hAnsi="华文中宋" w:eastAsia="华文中宋"/>
          <w:b/>
          <w:color w:val="auto"/>
          <w:szCs w:val="32"/>
        </w:rPr>
      </w:pPr>
      <w:bookmarkStart w:id="223" w:name="_Toc3628"/>
      <w:bookmarkStart w:id="224" w:name="_Toc16242"/>
      <w:bookmarkStart w:id="225" w:name="_Toc27072"/>
      <w:bookmarkStart w:id="226" w:name="_Toc21511"/>
      <w:bookmarkStart w:id="227" w:name="_Toc21811"/>
      <w:bookmarkStart w:id="228" w:name="_Toc22238"/>
      <w:bookmarkStart w:id="229" w:name="_Toc27036"/>
      <w:bookmarkStart w:id="230" w:name="_Toc1809"/>
      <w:bookmarkStart w:id="231" w:name="_Toc13377"/>
      <w:bookmarkStart w:id="232" w:name="_Toc69218768"/>
      <w:r>
        <w:rPr>
          <w:rFonts w:hint="eastAsia" w:ascii="华文中宋" w:hAnsi="华文中宋" w:eastAsia="华文中宋"/>
          <w:b/>
          <w:color w:val="auto"/>
          <w:szCs w:val="32"/>
        </w:rPr>
        <w:t>（二）加强知识产权创造保护</w:t>
      </w:r>
      <w:bookmarkEnd w:id="223"/>
      <w:bookmarkEnd w:id="224"/>
      <w:bookmarkEnd w:id="225"/>
      <w:bookmarkEnd w:id="226"/>
      <w:bookmarkEnd w:id="227"/>
      <w:bookmarkEnd w:id="228"/>
      <w:bookmarkEnd w:id="229"/>
    </w:p>
    <w:p>
      <w:pPr>
        <w:pStyle w:val="7"/>
        <w:adjustRightInd w:val="0"/>
        <w:snapToGrid w:val="0"/>
        <w:spacing w:line="360" w:lineRule="auto"/>
        <w:ind w:firstLine="643"/>
        <w:rPr>
          <w:rFonts w:ascii="楷体_GB2312" w:hAnsi="楷体_GB2312" w:eastAsia="楷体_GB2312"/>
          <w:color w:val="auto"/>
        </w:rPr>
      </w:pPr>
      <w:r>
        <w:rPr>
          <w:rFonts w:hint="eastAsia" w:ascii="楷体_GB2312" w:hAnsi="楷体_GB2312" w:eastAsia="楷体_GB2312"/>
          <w:color w:val="auto"/>
        </w:rPr>
        <w:t>1</w:t>
      </w:r>
      <w:r>
        <w:rPr>
          <w:rFonts w:ascii="楷体_GB2312" w:hAnsi="楷体_GB2312" w:eastAsia="楷体_GB2312"/>
          <w:color w:val="auto"/>
        </w:rPr>
        <w:t xml:space="preserve">. </w:t>
      </w:r>
      <w:r>
        <w:rPr>
          <w:rFonts w:hint="eastAsia" w:ascii="楷体_GB2312" w:hAnsi="楷体_GB2312" w:eastAsia="楷体_GB2312"/>
          <w:color w:val="auto"/>
        </w:rPr>
        <w:t>提升知识产权创造质量</w:t>
      </w:r>
    </w:p>
    <w:p>
      <w:pPr>
        <w:adjustRightInd w:val="0"/>
        <w:snapToGrid w:val="0"/>
        <w:spacing w:line="360" w:lineRule="auto"/>
        <w:ind w:firstLine="640"/>
        <w:rPr>
          <w:rFonts w:ascii="仿宋_GB2312"/>
          <w:color w:val="auto"/>
          <w:szCs w:val="32"/>
        </w:rPr>
      </w:pPr>
      <w:r>
        <w:rPr>
          <w:rFonts w:hint="eastAsia" w:ascii="Times New Roman" w:hAnsi="Times New Roman" w:cs="Times New Roman"/>
          <w:bCs/>
          <w:color w:val="auto"/>
        </w:rPr>
        <w:t>探索建立车谷高价值专利培育中心，聚焦新能源与智能网联汽车、新材料、新能源等产业关键领域，</w:t>
      </w:r>
      <w:r>
        <w:rPr>
          <w:rFonts w:ascii="Times New Roman" w:hAnsi="Times New Roman" w:cs="Times New Roman"/>
          <w:bCs/>
          <w:color w:val="auto"/>
        </w:rPr>
        <w:t>开展高价值专利</w:t>
      </w:r>
      <w:r>
        <w:rPr>
          <w:rFonts w:hint="eastAsia" w:ascii="Times New Roman" w:hAnsi="Times New Roman" w:cs="Times New Roman"/>
          <w:bCs/>
          <w:color w:val="auto"/>
        </w:rPr>
        <w:t>挖掘、</w:t>
      </w:r>
      <w:r>
        <w:rPr>
          <w:rFonts w:ascii="Times New Roman" w:hAnsi="Times New Roman" w:cs="Times New Roman"/>
          <w:bCs/>
          <w:color w:val="auto"/>
        </w:rPr>
        <w:t>培育工作</w:t>
      </w:r>
      <w:r>
        <w:rPr>
          <w:rFonts w:hint="eastAsia" w:ascii="Times New Roman" w:hAnsi="Times New Roman" w:cs="Times New Roman"/>
          <w:bCs/>
          <w:color w:val="auto"/>
        </w:rPr>
        <w:t>，</w:t>
      </w:r>
      <w:r>
        <w:rPr>
          <w:rFonts w:hint="eastAsia" w:ascii="Times New Roman" w:hAnsi="Times New Roman" w:cs="Times New Roman"/>
          <w:color w:val="auto"/>
        </w:rPr>
        <w:t>形成核心技术专利池。</w:t>
      </w:r>
      <w:r>
        <w:rPr>
          <w:rFonts w:hint="eastAsia" w:ascii="仿宋_GB2312"/>
          <w:color w:val="auto"/>
          <w:szCs w:val="32"/>
        </w:rPr>
        <w:t>引导企业进行知识产权规划，积极开展专利布局，支持企业创建国家级知识产权优势示范企业、国家专利运营试点企业。</w:t>
      </w:r>
      <w:r>
        <w:rPr>
          <w:rFonts w:hint="eastAsia" w:ascii="Times New Roman" w:hAnsi="Times New Roman" w:cs="Times New Roman"/>
          <w:color w:val="auto"/>
        </w:rPr>
        <w:t>引导企业开展海外知识产权布局，鼓励企业申请</w:t>
      </w:r>
      <w:r>
        <w:rPr>
          <w:rFonts w:ascii="仿宋_GB2312" w:hAnsi="仿宋_GB2312" w:cs="Times New Roman"/>
          <w:color w:val="auto"/>
        </w:rPr>
        <w:t>PCT</w:t>
      </w:r>
      <w:r>
        <w:rPr>
          <w:rFonts w:hint="eastAsia" w:ascii="仿宋_GB2312" w:hAnsi="仿宋_GB2312" w:cs="Times New Roman"/>
          <w:color w:val="auto"/>
        </w:rPr>
        <w:t>专利</w:t>
      </w:r>
      <w:r>
        <w:rPr>
          <w:rFonts w:hint="eastAsia" w:ascii="Times New Roman" w:hAnsi="Times New Roman" w:cs="Times New Roman"/>
          <w:color w:val="auto"/>
        </w:rPr>
        <w:t>。建设知识产权服务业集聚区，引进和培育一批高质量知识产权服务机构。</w:t>
      </w:r>
      <w:r>
        <w:rPr>
          <w:rFonts w:hint="eastAsia" w:ascii="仿宋_GB2312"/>
          <w:color w:val="auto"/>
          <w:szCs w:val="32"/>
        </w:rPr>
        <w:t xml:space="preserve"> </w:t>
      </w:r>
    </w:p>
    <w:p>
      <w:pPr>
        <w:pStyle w:val="7"/>
        <w:adjustRightInd w:val="0"/>
        <w:snapToGrid w:val="0"/>
        <w:spacing w:line="360" w:lineRule="auto"/>
        <w:ind w:firstLine="643"/>
        <w:rPr>
          <w:rFonts w:ascii="楷体_GB2312" w:hAnsi="楷体_GB2312" w:eastAsia="楷体_GB2312"/>
          <w:color w:val="auto"/>
        </w:rPr>
      </w:pPr>
      <w:r>
        <w:rPr>
          <w:rFonts w:ascii="楷体_GB2312" w:hAnsi="楷体_GB2312" w:eastAsia="楷体_GB2312"/>
          <w:color w:val="auto"/>
        </w:rPr>
        <w:t>2</w:t>
      </w:r>
      <w:r>
        <w:rPr>
          <w:rFonts w:hint="eastAsia" w:ascii="楷体_GB2312" w:hAnsi="楷体_GB2312" w:eastAsia="楷体_GB2312"/>
          <w:color w:val="auto"/>
        </w:rPr>
        <w:t>. 强化知识产权保护</w:t>
      </w:r>
    </w:p>
    <w:p>
      <w:pPr>
        <w:adjustRightInd w:val="0"/>
        <w:snapToGrid w:val="0"/>
        <w:spacing w:line="360" w:lineRule="auto"/>
        <w:ind w:firstLine="640"/>
        <w:rPr>
          <w:rFonts w:ascii="Times New Roman" w:hAnsi="Times New Roman" w:cs="Times New Roman"/>
          <w:color w:val="auto"/>
          <w:szCs w:val="32"/>
        </w:rPr>
      </w:pPr>
      <w:r>
        <w:rPr>
          <w:rFonts w:hint="eastAsia" w:ascii="仿宋_GB2312" w:hAnsi="Times New Roman" w:cs="Times New Roman"/>
          <w:color w:val="auto"/>
        </w:rPr>
        <w:t>高水平建设中国武汉（汽车及零部件）知识产权快速维权中心，完善快速审查、快速确权、快速维权、协同保护、咨询指导等业务的全流程管理和服务。推动产业园区、基层市场监管所、孵化器等平台建设基层知识产权保护站。</w:t>
      </w:r>
      <w:r>
        <w:rPr>
          <w:rFonts w:hint="eastAsia" w:ascii="Times New Roman" w:hAnsi="Times New Roman" w:cs="Times New Roman"/>
          <w:color w:val="auto"/>
          <w:szCs w:val="32"/>
        </w:rPr>
        <w:t>加强与相关司法部门对接，建立健全知识产权协同保护机制。支持重点企业开展海外专利预警分析，依托国家海外知识产权纠纷应对指导中心湖北分中心，建设知识产权海外信息服务平台，构建海外纠纷协调解决机制。</w:t>
      </w:r>
      <w:r>
        <w:rPr>
          <w:rFonts w:hint="eastAsia" w:ascii="仿宋_GB2312" w:hAnsi="Times New Roman" w:cs="Times New Roman"/>
          <w:color w:val="auto"/>
        </w:rPr>
        <w:t>积极利用大数据技术，完善知识产权数据分析、运营、投融资、纠纷调解等信息公开和服务平台。</w:t>
      </w:r>
      <w:bookmarkStart w:id="233" w:name="_Toc14138"/>
      <w:bookmarkStart w:id="234" w:name="_Toc5924"/>
      <w:bookmarkStart w:id="235" w:name="_Toc9845"/>
    </w:p>
    <w:p>
      <w:pPr>
        <w:adjustRightInd w:val="0"/>
        <w:snapToGrid w:val="0"/>
        <w:spacing w:line="360" w:lineRule="auto"/>
        <w:ind w:firstLine="0" w:firstLineChars="0"/>
        <w:jc w:val="center"/>
        <w:outlineLvl w:val="3"/>
        <w:rPr>
          <w:rFonts w:ascii="仿宋_GB2312" w:hAnsi="仿宋_GB2312" w:cs="宋体"/>
          <w:b/>
          <w:color w:val="auto"/>
          <w:sz w:val="28"/>
          <w:szCs w:val="28"/>
        </w:rPr>
      </w:pPr>
      <w:r>
        <w:rPr>
          <w:rFonts w:hint="eastAsia" w:ascii="仿宋_GB2312" w:hAnsi="仿宋_GB2312" w:cs="宋体"/>
          <w:b/>
          <w:color w:val="auto"/>
          <w:sz w:val="28"/>
          <w:szCs w:val="28"/>
        </w:rPr>
        <w:t>专栏</w:t>
      </w:r>
      <w:r>
        <w:rPr>
          <w:rFonts w:ascii="仿宋_GB2312" w:hAnsi="仿宋_GB2312" w:cs="宋体"/>
          <w:b/>
          <w:color w:val="auto"/>
          <w:sz w:val="28"/>
          <w:szCs w:val="28"/>
        </w:rPr>
        <w:t xml:space="preserve">7-1 </w:t>
      </w:r>
      <w:r>
        <w:rPr>
          <w:rFonts w:hint="eastAsia" w:ascii="仿宋_GB2312" w:hAnsi="仿宋_GB2312" w:cs="宋体"/>
          <w:b/>
          <w:color w:val="auto"/>
          <w:sz w:val="28"/>
          <w:szCs w:val="28"/>
        </w:rPr>
        <w:t>建设中国武汉（汽车及零部件）知识产权快速维权中心</w:t>
      </w:r>
    </w:p>
    <w:tbl>
      <w:tblPr>
        <w:tblStyle w:val="2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9"/>
              <w:adjustRightInd w:val="0"/>
              <w:snapToGrid w:val="0"/>
              <w:spacing w:line="360" w:lineRule="auto"/>
              <w:ind w:firstLine="560"/>
              <w:rPr>
                <w:rFonts w:ascii="仿宋_GB2312" w:hAnsi="仿宋_GB2312" w:eastAsia="仿宋_GB2312"/>
                <w:color w:val="auto"/>
              </w:rPr>
            </w:pPr>
            <w:r>
              <w:rPr>
                <w:rFonts w:hint="eastAsia" w:ascii="仿宋_GB2312" w:hAnsi="仿宋_GB2312" w:eastAsia="仿宋_GB2312" w:cs="宋体"/>
                <w:color w:val="auto"/>
                <w:sz w:val="28"/>
                <w:szCs w:val="22"/>
              </w:rPr>
              <w:t>积极向国家知识产权局申请扩展专利审查类型和预审领域范围。提升知识产权预审、维权、运营工作能力，提供快速预审、快速确权、快速维权为一体的一站式综合服务，进一步缩短授权、确权、维权时间，降低维权成本，提高维权效率。开展知识产权快速维权中心人员业务培训，组建一支专业素养高的知识产权人才队伍。加强与行政、司法部门对接，建立健全知识产权协同保护机制，提高专利侵权判定咨询、知识产权纠纷调解等工作专业化水平。</w:t>
            </w:r>
          </w:p>
        </w:tc>
      </w:tr>
    </w:tbl>
    <w:p>
      <w:pPr>
        <w:pStyle w:val="7"/>
        <w:adjustRightInd w:val="0"/>
        <w:snapToGrid w:val="0"/>
        <w:spacing w:before="217" w:beforeLines="50" w:line="360" w:lineRule="auto"/>
        <w:ind w:firstLine="643"/>
        <w:rPr>
          <w:rFonts w:ascii="楷体_GB2312" w:hAnsi="楷体_GB2312" w:eastAsia="楷体_GB2312"/>
          <w:color w:val="auto"/>
        </w:rPr>
      </w:pPr>
      <w:bookmarkStart w:id="236" w:name="_Toc9760"/>
      <w:bookmarkStart w:id="237" w:name="_Toc8105"/>
      <w:bookmarkStart w:id="238" w:name="_Toc16158"/>
      <w:r>
        <w:rPr>
          <w:rFonts w:ascii="楷体_GB2312" w:hAnsi="楷体_GB2312" w:eastAsia="楷体_GB2312"/>
          <w:color w:val="auto"/>
        </w:rPr>
        <w:t>3</w:t>
      </w:r>
      <w:r>
        <w:rPr>
          <w:rFonts w:hint="eastAsia" w:ascii="楷体_GB2312" w:hAnsi="楷体_GB2312" w:eastAsia="楷体_GB2312"/>
          <w:color w:val="auto"/>
        </w:rPr>
        <w:t>. 加强知识产权转化运用</w:t>
      </w:r>
    </w:p>
    <w:p>
      <w:pPr>
        <w:autoSpaceDE w:val="0"/>
        <w:autoSpaceDN w:val="0"/>
        <w:adjustRightInd w:val="0"/>
        <w:snapToGrid w:val="0"/>
        <w:spacing w:line="360" w:lineRule="auto"/>
        <w:ind w:firstLine="640"/>
        <w:rPr>
          <w:color w:val="auto"/>
        </w:rPr>
      </w:pPr>
      <w:r>
        <w:rPr>
          <w:rFonts w:hint="eastAsia"/>
          <w:color w:val="auto"/>
        </w:rPr>
        <w:t>实施高价值专利转化运用行动，开展新能源与智能网联汽车等重点产业</w:t>
      </w:r>
      <w:r>
        <w:rPr>
          <w:rFonts w:hint="eastAsia" w:ascii="仿宋_GB2312" w:hAnsi="楷体"/>
          <w:color w:val="auto"/>
          <w:szCs w:val="32"/>
        </w:rPr>
        <w:t>专利导航。发展以专利权、商标权为主的知识产权质押融资服务，积极探索知识产权证券化。支持启迪协信武汉科创园建设省级知识产权双创服务基地，引导和鼓励创新园区、孵化器、众创空间等建立知识产权服务平台。加快建设中国节能环保产业知识产权运营中心。依托优势企业和研发机构组建汽车、新能源等领域知识产权联盟，</w:t>
      </w:r>
      <w:r>
        <w:rPr>
          <w:rFonts w:hint="eastAsia"/>
          <w:color w:val="auto"/>
        </w:rPr>
        <w:t>促进知识产权成果有效转移转化。</w:t>
      </w:r>
    </w:p>
    <w:p>
      <w:pPr>
        <w:autoSpaceDE w:val="0"/>
        <w:autoSpaceDN w:val="0"/>
        <w:adjustRightInd w:val="0"/>
        <w:snapToGrid w:val="0"/>
        <w:spacing w:line="360" w:lineRule="auto"/>
        <w:ind w:firstLine="641"/>
        <w:outlineLvl w:val="1"/>
        <w:rPr>
          <w:rFonts w:ascii="华文中宋" w:hAnsi="华文中宋" w:eastAsia="华文中宋"/>
          <w:b/>
          <w:color w:val="auto"/>
          <w:szCs w:val="32"/>
        </w:rPr>
      </w:pPr>
      <w:bookmarkStart w:id="239" w:name="_Toc26422"/>
      <w:r>
        <w:rPr>
          <w:rFonts w:hint="eastAsia" w:ascii="华文中宋" w:hAnsi="华文中宋" w:eastAsia="华文中宋"/>
          <w:b/>
          <w:color w:val="auto"/>
          <w:szCs w:val="32"/>
        </w:rPr>
        <w:t>（三）强化科技金融支撑作用</w:t>
      </w:r>
      <w:bookmarkEnd w:id="230"/>
      <w:bookmarkEnd w:id="231"/>
      <w:bookmarkEnd w:id="233"/>
      <w:bookmarkEnd w:id="234"/>
      <w:bookmarkEnd w:id="235"/>
      <w:bookmarkEnd w:id="236"/>
      <w:bookmarkEnd w:id="237"/>
      <w:bookmarkEnd w:id="238"/>
      <w:bookmarkEnd w:id="239"/>
    </w:p>
    <w:p>
      <w:pPr>
        <w:pStyle w:val="7"/>
        <w:adjustRightInd w:val="0"/>
        <w:snapToGrid w:val="0"/>
        <w:spacing w:line="360" w:lineRule="auto"/>
        <w:ind w:firstLine="643"/>
        <w:rPr>
          <w:rFonts w:ascii="楷体_GB2312" w:hAnsi="楷体_GB2312" w:eastAsia="楷体_GB2312"/>
          <w:color w:val="auto"/>
        </w:rPr>
      </w:pPr>
      <w:r>
        <w:rPr>
          <w:rFonts w:hint="eastAsia" w:ascii="楷体_GB2312" w:hAnsi="楷体_GB2312" w:eastAsia="楷体_GB2312"/>
          <w:color w:val="auto"/>
        </w:rPr>
        <w:t>1.</w:t>
      </w:r>
      <w:r>
        <w:rPr>
          <w:rFonts w:ascii="楷体_GB2312" w:hAnsi="楷体_GB2312" w:eastAsia="楷体_GB2312"/>
          <w:color w:val="auto"/>
        </w:rPr>
        <w:t xml:space="preserve"> </w:t>
      </w:r>
      <w:r>
        <w:rPr>
          <w:rFonts w:hint="eastAsia" w:ascii="楷体_GB2312" w:hAnsi="楷体_GB2312" w:eastAsia="楷体_GB2312"/>
          <w:color w:val="auto"/>
        </w:rPr>
        <w:t>大力发展股权投资</w:t>
      </w:r>
    </w:p>
    <w:p>
      <w:pPr>
        <w:adjustRightInd w:val="0"/>
        <w:snapToGrid w:val="0"/>
        <w:spacing w:line="360" w:lineRule="auto"/>
        <w:ind w:firstLine="640"/>
        <w:rPr>
          <w:color w:val="auto"/>
        </w:rPr>
      </w:pPr>
      <w:r>
        <w:rPr>
          <w:rFonts w:hint="eastAsia"/>
          <w:color w:val="auto"/>
        </w:rPr>
        <w:t>加快“车谷资本岛”建设，做强“南太子湖私募工场”，吸引全国优秀天使投资、创业投资、私募股权投资等集聚。成立车谷科创基金，加强对早期科技创业项目、科技型中小企业的资金支持，增加“耐心资本”供给。发挥车谷人才创业投资基金作用，对高层次人才（团队）携高价值、高技术项目开展创新创业给予投资。持续扩大经开产业投资基金影响力，壮大新材料、新能源等新兴产业子基金规模，重点投向创新型企业和重点项目。完善政府引导基金项目返投机制，吸引一批区外创新型企业入驻</w:t>
      </w:r>
      <w:r>
        <w:rPr>
          <w:rFonts w:hint="eastAsia" w:ascii="仿宋_GB2312" w:hAnsi="仿宋_GB2312"/>
          <w:color w:val="auto"/>
        </w:rPr>
        <w:t>。到2025年，经开产业基金合作设立的各类子基金管理资产规模不低于</w:t>
      </w:r>
      <w:r>
        <w:rPr>
          <w:rFonts w:ascii="仿宋_GB2312" w:hAnsi="仿宋_GB2312"/>
          <w:color w:val="auto"/>
        </w:rPr>
        <w:t>100</w:t>
      </w:r>
      <w:r>
        <w:rPr>
          <w:rFonts w:hint="eastAsia" w:ascii="仿宋_GB2312" w:hAnsi="仿宋_GB2312"/>
          <w:color w:val="auto"/>
        </w:rPr>
        <w:t>亿元，创投基金规模不低于</w:t>
      </w:r>
      <w:r>
        <w:rPr>
          <w:rFonts w:ascii="仿宋_GB2312" w:hAnsi="仿宋_GB2312"/>
          <w:color w:val="auto"/>
        </w:rPr>
        <w:t>10</w:t>
      </w:r>
      <w:r>
        <w:rPr>
          <w:rFonts w:hint="eastAsia" w:ascii="仿宋_GB2312" w:hAnsi="仿宋_GB2312"/>
          <w:color w:val="auto"/>
        </w:rPr>
        <w:t>亿元。</w:t>
      </w:r>
    </w:p>
    <w:p>
      <w:pPr>
        <w:adjustRightInd w:val="0"/>
        <w:snapToGrid w:val="0"/>
        <w:spacing w:line="360" w:lineRule="auto"/>
        <w:ind w:firstLine="0" w:firstLineChars="0"/>
        <w:jc w:val="center"/>
        <w:outlineLvl w:val="3"/>
        <w:rPr>
          <w:rFonts w:ascii="仿宋_GB2312" w:hAnsi="仿宋_GB2312" w:cs="宋体"/>
          <w:b/>
          <w:color w:val="FF0000"/>
          <w:sz w:val="30"/>
          <w:szCs w:val="30"/>
        </w:rPr>
      </w:pPr>
      <w:r>
        <w:rPr>
          <w:rFonts w:hint="eastAsia" w:ascii="仿宋_GB2312" w:hAnsi="仿宋_GB2312" w:cs="宋体"/>
          <w:b/>
          <w:color w:val="auto"/>
          <w:sz w:val="30"/>
          <w:szCs w:val="30"/>
        </w:rPr>
        <w:t>专栏</w:t>
      </w:r>
      <w:r>
        <w:rPr>
          <w:rFonts w:ascii="仿宋_GB2312" w:hAnsi="仿宋_GB2312" w:cs="宋体"/>
          <w:b/>
          <w:color w:val="auto"/>
          <w:sz w:val="30"/>
          <w:szCs w:val="30"/>
        </w:rPr>
        <w:t>7-2</w:t>
      </w:r>
      <w:r>
        <w:rPr>
          <w:rFonts w:hint="eastAsia" w:ascii="仿宋_GB2312" w:hAnsi="仿宋_GB2312" w:cs="宋体"/>
          <w:b/>
          <w:color w:val="auto"/>
          <w:sz w:val="30"/>
          <w:szCs w:val="30"/>
        </w:rPr>
        <w:t xml:space="preserve"> 建设“车谷资本岛”</w:t>
      </w:r>
    </w:p>
    <w:tbl>
      <w:tblPr>
        <w:tblStyle w:val="2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9"/>
              <w:adjustRightInd w:val="0"/>
              <w:snapToGrid w:val="0"/>
              <w:spacing w:line="360" w:lineRule="auto"/>
              <w:ind w:firstLine="562"/>
              <w:rPr>
                <w:rFonts w:ascii="仿宋_GB2312" w:hAnsi="仿宋_GB2312" w:eastAsia="仿宋_GB2312" w:cs="宋体"/>
                <w:color w:val="auto"/>
                <w:sz w:val="28"/>
                <w:szCs w:val="22"/>
              </w:rPr>
            </w:pPr>
            <w:r>
              <w:rPr>
                <w:rFonts w:hint="eastAsia" w:ascii="仿宋_GB2312" w:hAnsi="仿宋_GB2312" w:eastAsia="仿宋_GB2312" w:cs="宋体"/>
                <w:b/>
                <w:bCs/>
                <w:color w:val="auto"/>
                <w:sz w:val="28"/>
                <w:szCs w:val="22"/>
              </w:rPr>
              <w:t>发展定位：</w:t>
            </w:r>
            <w:r>
              <w:rPr>
                <w:rFonts w:hint="eastAsia" w:ascii="仿宋_GB2312" w:hAnsi="仿宋_GB2312" w:eastAsia="仿宋_GB2312" w:cs="宋体"/>
                <w:color w:val="auto"/>
                <w:sz w:val="28"/>
                <w:szCs w:val="22"/>
              </w:rPr>
              <w:t>通过资本聚集要素、要素塑造功能、功能引育产业、产业形成生态、生态协同发展，打造“资本+科创+产业+人文”四位一体的金融产业聚集区，成为武汉打造区域金融中心的重要一极。</w:t>
            </w:r>
          </w:p>
          <w:p>
            <w:pPr>
              <w:pStyle w:val="9"/>
              <w:adjustRightInd w:val="0"/>
              <w:snapToGrid w:val="0"/>
              <w:spacing w:line="360" w:lineRule="auto"/>
              <w:ind w:firstLine="562"/>
              <w:rPr>
                <w:rFonts w:ascii="仿宋_GB2312" w:hAnsi="仿宋_GB2312" w:eastAsia="仿宋_GB2312" w:cs="宋体"/>
                <w:color w:val="auto"/>
                <w:sz w:val="28"/>
                <w:szCs w:val="22"/>
              </w:rPr>
            </w:pPr>
            <w:r>
              <w:rPr>
                <w:rFonts w:hint="eastAsia" w:ascii="仿宋_GB2312" w:hAnsi="仿宋_GB2312" w:eastAsia="仿宋_GB2312" w:cs="宋体"/>
                <w:b/>
                <w:bCs/>
                <w:color w:val="auto"/>
                <w:sz w:val="28"/>
                <w:szCs w:val="22"/>
              </w:rPr>
              <w:t>建设内容：</w:t>
            </w:r>
            <w:r>
              <w:rPr>
                <w:rFonts w:hint="eastAsia" w:ascii="仿宋_GB2312" w:hAnsi="仿宋_GB2312" w:eastAsia="仿宋_GB2312" w:cs="宋体"/>
                <w:color w:val="auto"/>
                <w:sz w:val="28"/>
                <w:szCs w:val="22"/>
              </w:rPr>
              <w:t>规划建设企业总部大楼、沿湖金融中心、高端酒店、精品公寓等多种业态。引进各类基金、金融机构和中介服务机构，引导资金注入创新企业孵化、科研技术产业化和前沿技术研发等阶段，通过行业聚集形成本地化金融投资人才“朋友圈”。</w:t>
            </w:r>
          </w:p>
        </w:tc>
      </w:tr>
    </w:tbl>
    <w:p>
      <w:pPr>
        <w:adjustRightInd w:val="0"/>
        <w:snapToGrid w:val="0"/>
        <w:spacing w:line="360" w:lineRule="auto"/>
        <w:ind w:firstLine="640"/>
        <w:rPr>
          <w:color w:val="auto"/>
        </w:rPr>
      </w:pPr>
    </w:p>
    <w:p>
      <w:pPr>
        <w:widowControl/>
        <w:ind w:firstLine="0" w:firstLineChars="0"/>
        <w:jc w:val="left"/>
        <w:rPr>
          <w:rFonts w:ascii="楷体_GB2312" w:hAnsi="Times New Roman" w:eastAsia="楷体_GB2312" w:cs="Times New Roman"/>
          <w:b/>
          <w:color w:val="auto"/>
          <w:szCs w:val="32"/>
        </w:rPr>
      </w:pPr>
      <w:r>
        <w:rPr>
          <w:rFonts w:ascii="楷体_GB2312" w:hAnsi="Times New Roman" w:eastAsia="楷体_GB2312" w:cs="Times New Roman"/>
          <w:b/>
          <w:color w:val="auto"/>
          <w:szCs w:val="32"/>
        </w:rPr>
        <w:br w:type="page"/>
      </w:r>
    </w:p>
    <w:p>
      <w:pPr>
        <w:adjustRightInd w:val="0"/>
        <w:snapToGrid w:val="0"/>
        <w:spacing w:line="360" w:lineRule="auto"/>
        <w:ind w:firstLine="643"/>
        <w:outlineLvl w:val="2"/>
        <w:rPr>
          <w:rFonts w:ascii="楷体_GB2312" w:hAnsi="Times New Roman" w:eastAsia="楷体_GB2312" w:cs="Times New Roman"/>
          <w:b/>
          <w:color w:val="auto"/>
          <w:szCs w:val="32"/>
        </w:rPr>
      </w:pPr>
      <w:r>
        <w:rPr>
          <w:rFonts w:ascii="楷体_GB2312" w:hAnsi="Times New Roman" w:eastAsia="楷体_GB2312" w:cs="Times New Roman"/>
          <w:b/>
          <w:color w:val="auto"/>
          <w:szCs w:val="32"/>
        </w:rPr>
        <w:t>2</w:t>
      </w:r>
      <w:r>
        <w:rPr>
          <w:rFonts w:hint="eastAsia" w:ascii="楷体_GB2312" w:hAnsi="Times New Roman" w:eastAsia="楷体_GB2312" w:cs="Times New Roman"/>
          <w:b/>
          <w:color w:val="auto"/>
          <w:szCs w:val="32"/>
        </w:rPr>
        <w:t>.</w:t>
      </w:r>
      <w:r>
        <w:rPr>
          <w:rFonts w:ascii="楷体_GB2312" w:hAnsi="Times New Roman" w:eastAsia="楷体_GB2312" w:cs="Times New Roman"/>
          <w:b/>
          <w:color w:val="auto"/>
          <w:szCs w:val="32"/>
        </w:rPr>
        <w:t xml:space="preserve"> </w:t>
      </w:r>
      <w:r>
        <w:rPr>
          <w:rFonts w:hint="eastAsia" w:ascii="楷体_GB2312" w:hAnsi="Times New Roman" w:eastAsia="楷体_GB2312" w:cs="Times New Roman"/>
          <w:b/>
          <w:color w:val="auto"/>
          <w:szCs w:val="32"/>
        </w:rPr>
        <w:t>鼓励科技金融产品和服务创新</w:t>
      </w:r>
    </w:p>
    <w:p>
      <w:pPr>
        <w:adjustRightInd w:val="0"/>
        <w:snapToGrid w:val="0"/>
        <w:spacing w:line="360" w:lineRule="auto"/>
        <w:ind w:firstLine="640"/>
        <w:rPr>
          <w:color w:val="auto"/>
        </w:rPr>
      </w:pPr>
      <w:r>
        <w:rPr>
          <w:rFonts w:hint="eastAsia"/>
          <w:color w:val="auto"/>
        </w:rPr>
        <w:t>加快在经开智造等园区建设科技金融工作站，加快集聚银行、保险、担保等科技金融机构。深化税保贷、科保贷、政银担等金融产品应用</w:t>
      </w:r>
      <w:r>
        <w:rPr>
          <w:rFonts w:hint="eastAsia" w:ascii="仿宋_GB2312" w:hAnsi="仿宋_GB2312"/>
          <w:color w:val="auto"/>
        </w:rPr>
        <w:t>，积极探索信用保险、科技保险、创业保险等科技保险产品和服务创新。吸引创投机构开展投贷联动、投保联动创新合作，探索“基金+基地”“投资+孵化”等金融服务模式。</w:t>
      </w:r>
      <w:r>
        <w:rPr>
          <w:rFonts w:hint="eastAsia"/>
          <w:color w:val="auto"/>
        </w:rPr>
        <w:t>鼓励金融机构联合大企业开展供应链金融，开展订单和应收账款融资、仓储金融等特色金融服务。完善金融风险补偿机制。加强区块链、大数据、云计算、人工智能等数字技术在科技金融领域中的应用。</w:t>
      </w:r>
    </w:p>
    <w:p>
      <w:pPr>
        <w:pStyle w:val="7"/>
        <w:adjustRightInd w:val="0"/>
        <w:snapToGrid w:val="0"/>
        <w:spacing w:line="360" w:lineRule="auto"/>
        <w:ind w:firstLine="643"/>
        <w:rPr>
          <w:rFonts w:ascii="楷体_GB2312" w:hAnsi="楷体_GB2312" w:eastAsia="楷体_GB2312"/>
          <w:color w:val="auto"/>
        </w:rPr>
      </w:pPr>
      <w:r>
        <w:rPr>
          <w:rFonts w:ascii="楷体_GB2312" w:hAnsi="楷体_GB2312" w:eastAsia="楷体_GB2312"/>
          <w:color w:val="auto"/>
        </w:rPr>
        <w:t>3</w:t>
      </w:r>
      <w:r>
        <w:rPr>
          <w:rFonts w:hint="eastAsia" w:ascii="楷体_GB2312" w:hAnsi="楷体_GB2312" w:eastAsia="楷体_GB2312"/>
          <w:color w:val="auto"/>
        </w:rPr>
        <w:t>.</w:t>
      </w:r>
      <w:r>
        <w:rPr>
          <w:rFonts w:ascii="楷体_GB2312" w:hAnsi="楷体_GB2312" w:eastAsia="楷体_GB2312"/>
          <w:color w:val="auto"/>
        </w:rPr>
        <w:t xml:space="preserve"> </w:t>
      </w:r>
      <w:r>
        <w:rPr>
          <w:rFonts w:hint="eastAsia" w:ascii="楷体_GB2312" w:hAnsi="楷体_GB2312" w:eastAsia="楷体_GB2312"/>
          <w:color w:val="auto"/>
        </w:rPr>
        <w:t>鼓励企业利用多层次资本市场融资</w:t>
      </w:r>
    </w:p>
    <w:p>
      <w:pPr>
        <w:adjustRightInd w:val="0"/>
        <w:snapToGrid w:val="0"/>
        <w:spacing w:line="360" w:lineRule="auto"/>
        <w:ind w:firstLine="640"/>
        <w:rPr>
          <w:rFonts w:ascii="仿宋_GB2312" w:hAnsi="华文中宋" w:cs="Times New Roman"/>
          <w:bCs/>
          <w:color w:val="auto"/>
          <w:szCs w:val="32"/>
        </w:rPr>
      </w:pPr>
      <w:r>
        <w:rPr>
          <w:rFonts w:ascii="Times New Roman" w:hAnsi="Times New Roman" w:cs="Times New Roman"/>
          <w:color w:val="auto"/>
        </w:rPr>
        <w:t>按</w:t>
      </w:r>
      <w:r>
        <w:rPr>
          <w:rFonts w:hint="eastAsia" w:ascii="仿宋_GB2312" w:hAnsi="仿宋_GB2312" w:cs="仿宋_GB2312"/>
          <w:color w:val="auto"/>
        </w:rPr>
        <w:t>照“上市一批、辅导一批、改制一批、储备一批”</w:t>
      </w:r>
      <w:r>
        <w:rPr>
          <w:rFonts w:hint="eastAsia" w:ascii="Times New Roman" w:hAnsi="Times New Roman" w:cs="Times New Roman"/>
          <w:color w:val="auto"/>
        </w:rPr>
        <w:t>培育机制，</w:t>
      </w:r>
      <w:r>
        <w:rPr>
          <w:rFonts w:hint="eastAsia" w:ascii="仿宋_GB2312" w:hAnsi="华文中宋" w:cs="Times New Roman"/>
          <w:bCs/>
          <w:color w:val="auto"/>
          <w:szCs w:val="32"/>
        </w:rPr>
        <w:t>完善“</w:t>
      </w:r>
      <w:r>
        <w:rPr>
          <w:rFonts w:ascii="仿宋_GB2312" w:hAnsi="华文中宋" w:cs="Times New Roman"/>
          <w:bCs/>
          <w:color w:val="auto"/>
          <w:szCs w:val="32"/>
        </w:rPr>
        <w:t>金种子</w:t>
      </w:r>
      <w:r>
        <w:rPr>
          <w:rFonts w:hint="eastAsia" w:ascii="仿宋_GB2312" w:hAnsi="仿宋_GB2312" w:cs="仿宋_GB2312"/>
          <w:color w:val="auto"/>
        </w:rPr>
        <w:t>”上市资源后备库，推动创新型企业利用多层次资本市场上市或挂牌融资。围绕智能网联汽车、</w:t>
      </w:r>
      <w:r>
        <w:fldChar w:fldCharType="begin"/>
      </w:r>
      <w:r>
        <w:instrText xml:space="preserve"> HYPERLINK "https://baike.baidu.com/item/%E6%96%B0%E6%9D%90%E6%96%99/4898312" \t "https://baike.baidu.com/item/%E7%A7%91%E5%88%9B%E6%9D%BF/_blank" </w:instrText>
      </w:r>
      <w:r>
        <w:fldChar w:fldCharType="separate"/>
      </w:r>
      <w:r>
        <w:rPr>
          <w:rFonts w:hint="eastAsia" w:ascii="仿宋_GB2312" w:hAnsi="仿宋_GB2312" w:cs="仿宋_GB2312"/>
          <w:color w:val="auto"/>
        </w:rPr>
        <w:t>新材料</w:t>
      </w:r>
      <w:r>
        <w:rPr>
          <w:rFonts w:hint="eastAsia" w:ascii="仿宋_GB2312" w:hAnsi="仿宋_GB2312" w:cs="仿宋_GB2312"/>
          <w:color w:val="auto"/>
        </w:rPr>
        <w:fldChar w:fldCharType="end"/>
      </w:r>
      <w:r>
        <w:rPr>
          <w:rFonts w:hint="eastAsia" w:ascii="仿宋_GB2312" w:hAnsi="仿宋_GB2312" w:cs="仿宋_GB2312"/>
          <w:color w:val="auto"/>
        </w:rPr>
        <w:t>、</w:t>
      </w:r>
      <w:r>
        <w:fldChar w:fldCharType="begin"/>
      </w:r>
      <w:r>
        <w:instrText xml:space="preserve"> HYPERLINK "https://baike.baidu.com/item/%E6%96%B0%E8%83%BD%E6%BA%90/53368" \t "https://baike.baidu.com/item/%E7%A7%91%E5%88%9B%E6%9D%BF/_blank" </w:instrText>
      </w:r>
      <w:r>
        <w:fldChar w:fldCharType="separate"/>
      </w:r>
      <w:r>
        <w:rPr>
          <w:rFonts w:hint="eastAsia" w:ascii="仿宋_GB2312" w:hAnsi="仿宋_GB2312" w:cs="仿宋_GB2312"/>
          <w:color w:val="auto"/>
        </w:rPr>
        <w:t>新能源</w:t>
      </w:r>
      <w:r>
        <w:rPr>
          <w:rFonts w:hint="eastAsia" w:ascii="仿宋_GB2312" w:hAnsi="仿宋_GB2312" w:cs="仿宋_GB2312"/>
          <w:color w:val="auto"/>
        </w:rPr>
        <w:fldChar w:fldCharType="end"/>
      </w:r>
      <w:r>
        <w:rPr>
          <w:rFonts w:hint="eastAsia" w:ascii="仿宋_GB2312" w:hAnsi="仿宋_GB2312" w:cs="仿宋_GB2312"/>
          <w:color w:val="auto"/>
        </w:rPr>
        <w:t>等</w:t>
      </w:r>
      <w:r>
        <w:fldChar w:fldCharType="begin"/>
      </w:r>
      <w:r>
        <w:instrText xml:space="preserve"> HYPERLINK "https://baike.baidu.com/item/%E9%AB%98%E6%96%B0%E6%8A%80%E6%9C%AF%E4%BA%A7%E4%B8%9A/7246934" \t "https://baike.baidu.com/item/%E7%A7%91%E5%88%9B%E6%9D%BF/_blank" </w:instrText>
      </w:r>
      <w:r>
        <w:fldChar w:fldCharType="separate"/>
      </w:r>
      <w:r>
        <w:rPr>
          <w:rFonts w:hint="eastAsia" w:ascii="仿宋_GB2312" w:hAnsi="仿宋_GB2312" w:cs="仿宋_GB2312"/>
          <w:color w:val="auto"/>
        </w:rPr>
        <w:t>高新技术产业</w:t>
      </w:r>
      <w:r>
        <w:rPr>
          <w:rFonts w:hint="eastAsia" w:ascii="仿宋_GB2312" w:hAnsi="仿宋_GB2312" w:cs="仿宋_GB2312"/>
          <w:color w:val="auto"/>
        </w:rPr>
        <w:fldChar w:fldCharType="end"/>
      </w:r>
      <w:r>
        <w:rPr>
          <w:rFonts w:hint="eastAsia" w:ascii="仿宋_GB2312" w:hAnsi="华文中宋" w:cs="Times New Roman"/>
          <w:bCs/>
          <w:color w:val="auto"/>
          <w:szCs w:val="32"/>
        </w:rPr>
        <w:t>和</w:t>
      </w:r>
      <w:r>
        <w:fldChar w:fldCharType="begin"/>
      </w:r>
      <w:r>
        <w:instrText xml:space="preserve"> HYPERLINK "https://baike.baidu.com/item/%E6%88%98%E7%95%A5%E6%80%A7%E6%96%B0%E5%85%B4%E4%BA%A7%E4%B8%9A/10333409" \t "https://baike.baidu.com/item/%E7%A7%91%E5%88%9B%E6%9D%BF/_blank" </w:instrText>
      </w:r>
      <w:r>
        <w:fldChar w:fldCharType="separate"/>
      </w:r>
      <w:r>
        <w:rPr>
          <w:rFonts w:hint="eastAsia" w:ascii="仿宋_GB2312" w:hAnsi="华文中宋" w:cs="Times New Roman"/>
          <w:bCs/>
          <w:color w:val="auto"/>
          <w:szCs w:val="32"/>
        </w:rPr>
        <w:t>战略性新兴产业</w:t>
      </w:r>
      <w:r>
        <w:rPr>
          <w:rFonts w:hint="eastAsia" w:ascii="仿宋_GB2312" w:hAnsi="华文中宋" w:cs="Times New Roman"/>
          <w:bCs/>
          <w:color w:val="auto"/>
          <w:szCs w:val="32"/>
        </w:rPr>
        <w:fldChar w:fldCharType="end"/>
      </w:r>
      <w:r>
        <w:rPr>
          <w:rFonts w:hint="eastAsia" w:ascii="仿宋_GB2312" w:hAnsi="华文中宋" w:cs="Times New Roman"/>
          <w:bCs/>
          <w:color w:val="auto"/>
          <w:szCs w:val="32"/>
        </w:rPr>
        <w:t>，筛选一批创新能力强、发展潜力大的科技型企业，推动其登陆</w:t>
      </w:r>
      <w:r>
        <w:rPr>
          <w:rFonts w:ascii="仿宋_GB2312" w:hAnsi="华文中宋" w:cs="Times New Roman"/>
          <w:bCs/>
          <w:color w:val="auto"/>
          <w:szCs w:val="32"/>
        </w:rPr>
        <w:t>科创板</w:t>
      </w:r>
      <w:r>
        <w:rPr>
          <w:rFonts w:hint="eastAsia" w:ascii="仿宋_GB2312" w:hAnsi="华文中宋" w:cs="Times New Roman"/>
          <w:bCs/>
          <w:color w:val="auto"/>
          <w:szCs w:val="32"/>
        </w:rPr>
        <w:t>。</w:t>
      </w:r>
      <w:r>
        <w:rPr>
          <w:rFonts w:ascii="仿宋_GB2312" w:hAnsi="华文中宋" w:cs="Times New Roman"/>
          <w:bCs/>
          <w:color w:val="auto"/>
          <w:szCs w:val="32"/>
        </w:rPr>
        <w:t>鼓励</w:t>
      </w:r>
      <w:r>
        <w:rPr>
          <w:rFonts w:hint="eastAsia" w:ascii="仿宋_GB2312" w:hAnsi="华文中宋" w:cs="Times New Roman"/>
          <w:bCs/>
          <w:color w:val="auto"/>
          <w:szCs w:val="32"/>
        </w:rPr>
        <w:t>证券公司、会计师事务所、律师事务所等专业服务机构为企业提供上市培训、辅导及再融资服务。到2025年，上市企业达到15家。</w:t>
      </w:r>
      <w:bookmarkEnd w:id="232"/>
    </w:p>
    <w:p>
      <w:pPr>
        <w:autoSpaceDE w:val="0"/>
        <w:autoSpaceDN w:val="0"/>
        <w:adjustRightInd w:val="0"/>
        <w:snapToGrid w:val="0"/>
        <w:spacing w:line="360" w:lineRule="auto"/>
        <w:ind w:firstLine="641"/>
        <w:outlineLvl w:val="1"/>
        <w:rPr>
          <w:rFonts w:ascii="华文中宋" w:hAnsi="华文中宋" w:eastAsia="华文中宋"/>
          <w:b/>
          <w:color w:val="auto"/>
          <w:szCs w:val="32"/>
        </w:rPr>
      </w:pPr>
      <w:bookmarkStart w:id="240" w:name="_Toc5920"/>
      <w:bookmarkStart w:id="241" w:name="_Toc20391"/>
      <w:bookmarkStart w:id="242" w:name="_Toc24668"/>
      <w:bookmarkStart w:id="243" w:name="_Toc28980"/>
      <w:bookmarkStart w:id="244" w:name="_Toc24717"/>
      <w:bookmarkStart w:id="245" w:name="_Toc11463"/>
      <w:bookmarkStart w:id="246" w:name="_Toc758"/>
      <w:r>
        <w:rPr>
          <w:rFonts w:hint="eastAsia" w:ascii="华文中宋" w:hAnsi="华文中宋" w:eastAsia="华文中宋"/>
          <w:b/>
          <w:color w:val="auto"/>
          <w:szCs w:val="32"/>
        </w:rPr>
        <w:t>（四）推动数据资源开放共享</w:t>
      </w:r>
      <w:bookmarkEnd w:id="240"/>
      <w:bookmarkEnd w:id="241"/>
      <w:bookmarkEnd w:id="242"/>
      <w:bookmarkEnd w:id="243"/>
      <w:bookmarkEnd w:id="244"/>
      <w:bookmarkEnd w:id="245"/>
      <w:bookmarkEnd w:id="246"/>
    </w:p>
    <w:p>
      <w:pPr>
        <w:adjustRightInd w:val="0"/>
        <w:snapToGrid w:val="0"/>
        <w:spacing w:line="360" w:lineRule="auto"/>
        <w:ind w:firstLine="640"/>
        <w:rPr>
          <w:color w:val="auto"/>
        </w:rPr>
      </w:pPr>
      <w:r>
        <w:rPr>
          <w:color w:val="auto"/>
        </w:rPr>
        <w:t>依托</w:t>
      </w:r>
      <w:r>
        <w:rPr>
          <w:rFonts w:hint="eastAsia"/>
          <w:color w:val="auto"/>
        </w:rPr>
        <w:t>武汉经开区“城市大脑”</w:t>
      </w:r>
      <w:r>
        <w:rPr>
          <w:color w:val="auto"/>
        </w:rPr>
        <w:t>，</w:t>
      </w:r>
      <w:r>
        <w:rPr>
          <w:rFonts w:hint="eastAsia"/>
          <w:color w:val="auto"/>
        </w:rPr>
        <w:t>建立科技创新数据共享平台，加强高价值科技事业数据资源挖掘和开放。打通各部门数据资源对接渠道，推动交</w:t>
      </w:r>
      <w:r>
        <w:rPr>
          <w:color w:val="auto"/>
        </w:rPr>
        <w:t>通、医疗、教育等数据资源向</w:t>
      </w:r>
      <w:r>
        <w:rPr>
          <w:rFonts w:hint="eastAsia"/>
          <w:color w:val="auto"/>
        </w:rPr>
        <w:t>创新型</w:t>
      </w:r>
      <w:r>
        <w:rPr>
          <w:color w:val="auto"/>
        </w:rPr>
        <w:t>企业</w:t>
      </w:r>
      <w:r>
        <w:rPr>
          <w:rFonts w:hint="eastAsia"/>
          <w:color w:val="auto"/>
        </w:rPr>
        <w:t>和平台载体</w:t>
      </w:r>
      <w:r>
        <w:rPr>
          <w:color w:val="auto"/>
        </w:rPr>
        <w:t>开放共享</w:t>
      </w:r>
      <w:r>
        <w:rPr>
          <w:rFonts w:hint="eastAsia"/>
          <w:color w:val="auto"/>
        </w:rPr>
        <w:t>。</w:t>
      </w:r>
      <w:r>
        <w:rPr>
          <w:color w:val="auto"/>
        </w:rPr>
        <w:t>聚焦科技创新全链条，面向企业创新需求，提供科技要素智能匹配、科技成果转化有效对接等精准化服务，促进技术创新应用和高技术产品应用推广。</w:t>
      </w:r>
    </w:p>
    <w:p>
      <w:pPr>
        <w:widowControl/>
        <w:adjustRightInd w:val="0"/>
        <w:snapToGrid w:val="0"/>
        <w:spacing w:line="360" w:lineRule="auto"/>
        <w:ind w:firstLine="0" w:firstLineChars="0"/>
        <w:jc w:val="left"/>
        <w:rPr>
          <w:rFonts w:ascii="黑体" w:hAnsi="黑体" w:eastAsia="黑体" w:cs="Times New Roman"/>
          <w:b/>
          <w:color w:val="auto"/>
          <w:szCs w:val="32"/>
        </w:rPr>
      </w:pPr>
      <w:bookmarkStart w:id="247" w:name="_Toc5097"/>
      <w:bookmarkStart w:id="248" w:name="_Toc29133"/>
      <w:bookmarkStart w:id="249" w:name="_Toc21849"/>
      <w:bookmarkStart w:id="250" w:name="_Toc5607"/>
      <w:bookmarkStart w:id="251" w:name="_Toc30071"/>
      <w:bookmarkStart w:id="252" w:name="_Toc7180"/>
      <w:r>
        <w:rPr>
          <w:rFonts w:ascii="黑体" w:hAnsi="黑体" w:eastAsia="黑体" w:cs="Times New Roman"/>
          <w:b/>
          <w:color w:val="auto"/>
          <w:szCs w:val="32"/>
        </w:rPr>
        <w:br w:type="page"/>
      </w:r>
    </w:p>
    <w:p>
      <w:pPr>
        <w:autoSpaceDE w:val="0"/>
        <w:autoSpaceDN w:val="0"/>
        <w:adjustRightInd w:val="0"/>
        <w:snapToGrid w:val="0"/>
        <w:spacing w:line="360" w:lineRule="auto"/>
        <w:ind w:firstLine="643"/>
        <w:outlineLvl w:val="0"/>
        <w:rPr>
          <w:rFonts w:ascii="黑体" w:hAnsi="黑体" w:eastAsia="黑体" w:cs="Times New Roman"/>
          <w:b/>
          <w:color w:val="auto"/>
          <w:szCs w:val="32"/>
        </w:rPr>
      </w:pPr>
      <w:bookmarkStart w:id="253" w:name="_Toc1405"/>
      <w:r>
        <w:rPr>
          <w:rFonts w:hint="eastAsia" w:ascii="黑体" w:hAnsi="黑体" w:eastAsia="黑体" w:cs="Times New Roman"/>
          <w:b/>
          <w:color w:val="auto"/>
          <w:szCs w:val="32"/>
        </w:rPr>
        <w:t>八、营造优质创新生态环境</w:t>
      </w:r>
      <w:bookmarkEnd w:id="247"/>
      <w:bookmarkEnd w:id="248"/>
      <w:bookmarkEnd w:id="249"/>
      <w:bookmarkEnd w:id="250"/>
      <w:bookmarkEnd w:id="251"/>
      <w:bookmarkEnd w:id="252"/>
      <w:bookmarkEnd w:id="253"/>
    </w:p>
    <w:p>
      <w:pPr>
        <w:adjustRightInd w:val="0"/>
        <w:snapToGrid w:val="0"/>
        <w:spacing w:line="360" w:lineRule="auto"/>
        <w:ind w:firstLine="640"/>
        <w:rPr>
          <w:color w:val="auto"/>
        </w:rPr>
      </w:pPr>
      <w:r>
        <w:rPr>
          <w:color w:val="auto"/>
        </w:rPr>
        <w:t>深化</w:t>
      </w:r>
      <w:r>
        <w:rPr>
          <w:rFonts w:hint="eastAsia"/>
          <w:color w:val="auto"/>
        </w:rPr>
        <w:t>科技创新体制机制</w:t>
      </w:r>
      <w:r>
        <w:rPr>
          <w:color w:val="auto"/>
        </w:rPr>
        <w:t>改革，</w:t>
      </w:r>
      <w:r>
        <w:rPr>
          <w:rFonts w:hint="eastAsia"/>
          <w:color w:val="auto"/>
        </w:rPr>
        <w:t>弘扬创新创业精神，厚植创新发展文化土壤，系统营造有利于科技创新的政务环境、科研环境、市场环境和社会环境</w:t>
      </w:r>
      <w:r>
        <w:rPr>
          <w:color w:val="auto"/>
        </w:rPr>
        <w:t>。</w:t>
      </w:r>
    </w:p>
    <w:p>
      <w:pPr>
        <w:autoSpaceDE w:val="0"/>
        <w:autoSpaceDN w:val="0"/>
        <w:adjustRightInd w:val="0"/>
        <w:snapToGrid w:val="0"/>
        <w:spacing w:line="360" w:lineRule="auto"/>
        <w:ind w:firstLine="641"/>
        <w:outlineLvl w:val="1"/>
        <w:rPr>
          <w:rFonts w:ascii="华文中宋" w:hAnsi="华文中宋" w:eastAsia="华文中宋"/>
          <w:b/>
          <w:color w:val="auto"/>
          <w:szCs w:val="32"/>
        </w:rPr>
      </w:pPr>
      <w:bookmarkStart w:id="254" w:name="_Toc31261"/>
      <w:bookmarkStart w:id="255" w:name="_Toc4394"/>
      <w:bookmarkStart w:id="256" w:name="_Toc6654"/>
      <w:bookmarkStart w:id="257" w:name="_Toc582"/>
      <w:bookmarkStart w:id="258" w:name="_Toc20211"/>
      <w:bookmarkStart w:id="259" w:name="_Toc13865"/>
      <w:bookmarkStart w:id="260" w:name="_Toc3416"/>
      <w:r>
        <w:rPr>
          <w:rFonts w:hint="eastAsia" w:ascii="华文中宋" w:hAnsi="华文中宋" w:eastAsia="华文中宋"/>
          <w:b/>
          <w:color w:val="auto"/>
          <w:szCs w:val="32"/>
        </w:rPr>
        <w:t>（一）推进体制机制改革</w:t>
      </w:r>
      <w:bookmarkEnd w:id="254"/>
      <w:bookmarkEnd w:id="255"/>
      <w:bookmarkEnd w:id="256"/>
      <w:bookmarkEnd w:id="257"/>
    </w:p>
    <w:p>
      <w:pPr>
        <w:adjustRightInd w:val="0"/>
        <w:snapToGrid w:val="0"/>
        <w:spacing w:line="360" w:lineRule="auto"/>
        <w:ind w:firstLine="643"/>
        <w:outlineLvl w:val="2"/>
        <w:rPr>
          <w:rFonts w:ascii="楷体_GB2312" w:hAnsi="Times New Roman" w:eastAsia="楷体_GB2312" w:cs="Times New Roman"/>
          <w:b/>
          <w:color w:val="auto"/>
          <w:szCs w:val="32"/>
        </w:rPr>
      </w:pPr>
      <w:r>
        <w:rPr>
          <w:rFonts w:hint="eastAsia" w:ascii="楷体_GB2312" w:hAnsi="Times New Roman" w:eastAsia="楷体_GB2312" w:cs="Times New Roman"/>
          <w:b/>
          <w:color w:val="auto"/>
          <w:szCs w:val="32"/>
        </w:rPr>
        <w:t>1. 创新科技管理机制</w:t>
      </w:r>
    </w:p>
    <w:p>
      <w:pPr>
        <w:pStyle w:val="9"/>
        <w:adjustRightInd w:val="0"/>
        <w:snapToGrid w:val="0"/>
        <w:spacing w:line="360" w:lineRule="auto"/>
        <w:ind w:firstLine="640"/>
        <w:rPr>
          <w:rFonts w:ascii="仿宋_GB2312" w:hAnsi="华文中宋"/>
          <w:color w:val="auto"/>
          <w:szCs w:val="32"/>
        </w:rPr>
      </w:pPr>
      <w:r>
        <w:rPr>
          <w:rFonts w:hint="eastAsia" w:eastAsia="仿宋_GB2312" w:asciiTheme="minorHAnsi"/>
          <w:color w:val="auto"/>
        </w:rPr>
        <w:t>实行科技攻关“揭榜挂帅”制，突破一批产业链关键环节“卡脖子”技术，探索悬赏制、委托制等新型科技攻关制度。建立科技招商机制，围绕创新型企业、创新创业平台等，探索建立以企业成长性、技术先进性等为主要指标的考核标准。重构科技工作业务流程和服务流程，推动政府部门职能由项目管理向创新服务转变。</w:t>
      </w:r>
    </w:p>
    <w:p>
      <w:pPr>
        <w:adjustRightInd w:val="0"/>
        <w:snapToGrid w:val="0"/>
        <w:spacing w:line="360" w:lineRule="auto"/>
        <w:ind w:firstLine="643"/>
        <w:outlineLvl w:val="2"/>
        <w:rPr>
          <w:rFonts w:ascii="楷体_GB2312" w:hAnsi="Times New Roman" w:eastAsia="楷体_GB2312" w:cs="Times New Roman"/>
          <w:b/>
          <w:color w:val="auto"/>
          <w:szCs w:val="32"/>
        </w:rPr>
      </w:pPr>
      <w:r>
        <w:rPr>
          <w:rFonts w:hint="eastAsia" w:ascii="楷体_GB2312" w:hAnsi="Times New Roman" w:eastAsia="楷体_GB2312" w:cs="Times New Roman"/>
          <w:b/>
          <w:color w:val="auto"/>
          <w:szCs w:val="32"/>
        </w:rPr>
        <w:t>2. 提升数字化治理水平</w:t>
      </w:r>
    </w:p>
    <w:p>
      <w:pPr>
        <w:adjustRightInd w:val="0"/>
        <w:snapToGrid w:val="0"/>
        <w:spacing w:line="360" w:lineRule="auto"/>
        <w:ind w:firstLine="640"/>
        <w:rPr>
          <w:color w:val="auto"/>
        </w:rPr>
      </w:pPr>
      <w:r>
        <w:rPr>
          <w:rFonts w:hint="eastAsia"/>
          <w:color w:val="auto"/>
        </w:rPr>
        <w:t>构</w:t>
      </w:r>
      <w:r>
        <w:rPr>
          <w:rFonts w:hint="eastAsia" w:ascii="仿宋_GB2312" w:hAnsi="仿宋_GB2312"/>
          <w:color w:val="auto"/>
        </w:rPr>
        <w:t>建“3335”</w:t>
      </w:r>
      <w:r>
        <w:rPr>
          <w:rFonts w:hint="eastAsia"/>
          <w:color w:val="auto"/>
        </w:rPr>
        <w:t>产业创新图谱、科技招商地图、创新链治理和创新链服务等可视化分析图谱，形成全方位的动态企业画像､丰富完善的创新全景。开展创新数字化治理行动，围绕常态数据监测、创新拐点研判、创新风险防范、创新阶段评估等方面，推动创新管理与服务精准化，不断增强科技治理水平。</w:t>
      </w:r>
    </w:p>
    <w:p>
      <w:pPr>
        <w:adjustRightInd w:val="0"/>
        <w:snapToGrid w:val="0"/>
        <w:spacing w:line="360" w:lineRule="auto"/>
        <w:ind w:firstLine="643"/>
        <w:outlineLvl w:val="2"/>
        <w:rPr>
          <w:rFonts w:ascii="楷体_GB2312" w:hAnsi="Times New Roman" w:eastAsia="楷体_GB2312" w:cs="Times New Roman"/>
          <w:b/>
          <w:color w:val="auto"/>
          <w:szCs w:val="32"/>
        </w:rPr>
      </w:pPr>
      <w:r>
        <w:rPr>
          <w:rFonts w:hint="eastAsia" w:ascii="楷体_GB2312" w:hAnsi="Times New Roman" w:eastAsia="楷体_GB2312" w:cs="Times New Roman"/>
          <w:b/>
          <w:color w:val="auto"/>
          <w:szCs w:val="32"/>
        </w:rPr>
        <w:t>3. 探索多元主体科技共治模式</w:t>
      </w:r>
    </w:p>
    <w:p>
      <w:pPr>
        <w:adjustRightInd w:val="0"/>
        <w:snapToGrid w:val="0"/>
        <w:spacing w:line="360" w:lineRule="auto"/>
        <w:ind w:firstLine="640"/>
        <w:rPr>
          <w:rFonts w:ascii="仿宋_GB2312"/>
          <w:color w:val="auto"/>
          <w:szCs w:val="32"/>
        </w:rPr>
      </w:pPr>
      <w:r>
        <w:rPr>
          <w:rFonts w:hint="eastAsia" w:ascii="仿宋_GB2312"/>
          <w:color w:val="auto"/>
          <w:szCs w:val="32"/>
        </w:rPr>
        <w:t>联合</w:t>
      </w:r>
      <w:r>
        <w:rPr>
          <w:rFonts w:ascii="仿宋_GB2312"/>
          <w:color w:val="auto"/>
          <w:szCs w:val="32"/>
        </w:rPr>
        <w:t>企业、高校院所、科技服务机构等多元主体建立协同合作的科技创新治理体系。建立由</w:t>
      </w:r>
      <w:r>
        <w:rPr>
          <w:rFonts w:hint="eastAsia" w:ascii="仿宋_GB2312"/>
          <w:color w:val="auto"/>
          <w:szCs w:val="32"/>
        </w:rPr>
        <w:t>重点企业</w:t>
      </w:r>
      <w:r>
        <w:rPr>
          <w:rFonts w:ascii="仿宋_GB2312"/>
          <w:color w:val="auto"/>
          <w:szCs w:val="32"/>
        </w:rPr>
        <w:t>、</w:t>
      </w:r>
      <w:r>
        <w:rPr>
          <w:rFonts w:hint="eastAsia" w:ascii="仿宋_GB2312"/>
          <w:color w:val="auto"/>
          <w:szCs w:val="32"/>
        </w:rPr>
        <w:t>高校院所</w:t>
      </w:r>
      <w:r>
        <w:rPr>
          <w:rFonts w:ascii="仿宋_GB2312"/>
          <w:color w:val="auto"/>
          <w:szCs w:val="32"/>
        </w:rPr>
        <w:t>、第三方智库等组成的科技决策咨询</w:t>
      </w:r>
      <w:r>
        <w:rPr>
          <w:rFonts w:hint="eastAsia" w:ascii="仿宋_GB2312"/>
          <w:color w:val="auto"/>
          <w:szCs w:val="32"/>
        </w:rPr>
        <w:t>委员会</w:t>
      </w:r>
      <w:r>
        <w:rPr>
          <w:rFonts w:ascii="仿宋_GB2312"/>
          <w:color w:val="auto"/>
          <w:szCs w:val="32"/>
        </w:rPr>
        <w:t>，为科技创新规划、科技政策制定及重大科技项目立项等提供咨询、论证、建议和评估服务</w:t>
      </w:r>
      <w:r>
        <w:rPr>
          <w:rFonts w:hint="eastAsia" w:ascii="仿宋_GB2312"/>
          <w:color w:val="auto"/>
          <w:szCs w:val="32"/>
        </w:rPr>
        <w:t>，不断增强科技决策的科学性</w:t>
      </w:r>
      <w:r>
        <w:rPr>
          <w:rFonts w:hint="eastAsia" w:ascii="仿宋_GB2312" w:hAnsi="华文中宋"/>
          <w:color w:val="auto"/>
          <w:szCs w:val="32"/>
        </w:rPr>
        <w:t>。</w:t>
      </w:r>
      <w:r>
        <w:rPr>
          <w:rFonts w:ascii="仿宋_GB2312"/>
          <w:color w:val="auto"/>
          <w:szCs w:val="32"/>
        </w:rPr>
        <w:t>搭建开放式科技治理平台，加强产业技术联盟、行业协会、企业家联合会等社会组织科技创新治理的参与意识</w:t>
      </w:r>
      <w:r>
        <w:rPr>
          <w:rFonts w:hint="eastAsia" w:ascii="仿宋_GB2312"/>
          <w:color w:val="auto"/>
          <w:szCs w:val="32"/>
        </w:rPr>
        <w:t>和</w:t>
      </w:r>
      <w:r>
        <w:rPr>
          <w:rFonts w:ascii="仿宋_GB2312"/>
          <w:color w:val="auto"/>
          <w:szCs w:val="32"/>
        </w:rPr>
        <w:t>能力。</w:t>
      </w:r>
    </w:p>
    <w:p>
      <w:pPr>
        <w:autoSpaceDE w:val="0"/>
        <w:autoSpaceDN w:val="0"/>
        <w:adjustRightInd w:val="0"/>
        <w:snapToGrid w:val="0"/>
        <w:spacing w:line="360" w:lineRule="auto"/>
        <w:ind w:firstLine="641"/>
        <w:outlineLvl w:val="1"/>
        <w:rPr>
          <w:rFonts w:ascii="华文中宋" w:hAnsi="华文中宋" w:eastAsia="华文中宋"/>
          <w:b/>
          <w:color w:val="auto"/>
          <w:szCs w:val="32"/>
        </w:rPr>
      </w:pPr>
      <w:bookmarkStart w:id="261" w:name="_Toc15519"/>
      <w:bookmarkStart w:id="262" w:name="_Toc29747"/>
      <w:bookmarkStart w:id="263" w:name="_Toc26132"/>
      <w:bookmarkStart w:id="264" w:name="_Toc11709"/>
      <w:r>
        <w:rPr>
          <w:rFonts w:hint="eastAsia" w:ascii="华文中宋" w:hAnsi="华文中宋" w:eastAsia="华文中宋"/>
          <w:b/>
          <w:color w:val="auto"/>
          <w:szCs w:val="32"/>
        </w:rPr>
        <w:t>（二）营造创新文化氛围</w:t>
      </w:r>
      <w:bookmarkEnd w:id="261"/>
      <w:bookmarkEnd w:id="262"/>
      <w:bookmarkEnd w:id="263"/>
      <w:bookmarkEnd w:id="264"/>
    </w:p>
    <w:p>
      <w:pPr>
        <w:adjustRightInd w:val="0"/>
        <w:snapToGrid w:val="0"/>
        <w:spacing w:line="360" w:lineRule="auto"/>
        <w:ind w:firstLine="643"/>
        <w:outlineLvl w:val="2"/>
        <w:rPr>
          <w:rFonts w:ascii="楷体_GB2312" w:hAnsi="Times New Roman" w:eastAsia="楷体_GB2312" w:cs="Times New Roman"/>
          <w:b/>
          <w:color w:val="auto"/>
          <w:szCs w:val="32"/>
        </w:rPr>
      </w:pPr>
      <w:r>
        <w:rPr>
          <w:rFonts w:hint="eastAsia" w:ascii="楷体_GB2312" w:hAnsi="Times New Roman" w:eastAsia="楷体_GB2312" w:cs="Times New Roman"/>
          <w:b/>
          <w:color w:val="auto"/>
          <w:szCs w:val="32"/>
        </w:rPr>
        <w:t>1. 举办创新创业活动</w:t>
      </w:r>
    </w:p>
    <w:p>
      <w:pPr>
        <w:adjustRightInd w:val="0"/>
        <w:snapToGrid w:val="0"/>
        <w:spacing w:line="360" w:lineRule="auto"/>
        <w:ind w:firstLine="640"/>
        <w:rPr>
          <w:rFonts w:ascii="仿宋_GB2312" w:hAnsi="Times New Roman" w:cs="Times New Roman"/>
          <w:color w:val="auto"/>
          <w:szCs w:val="32"/>
        </w:rPr>
      </w:pPr>
      <w:r>
        <w:rPr>
          <w:rFonts w:hint="eastAsia" w:ascii="仿宋_GB2312" w:hAnsi="华文中宋" w:cs="Times New Roman"/>
          <w:color w:val="auto"/>
          <w:szCs w:val="32"/>
        </w:rPr>
        <w:t>引导和支持各类平台载体组织举办创新创业系列活动，打造“车谷汇”区域</w:t>
      </w:r>
      <w:r>
        <w:rPr>
          <w:rFonts w:ascii="仿宋_GB2312" w:hAnsi="华文中宋" w:cs="Times New Roman"/>
          <w:color w:val="auto"/>
          <w:szCs w:val="32"/>
        </w:rPr>
        <w:t>品牌</w:t>
      </w:r>
      <w:r>
        <w:rPr>
          <w:rFonts w:hint="eastAsia" w:ascii="仿宋_GB2312" w:hAnsi="华文中宋" w:cs="Times New Roman"/>
          <w:color w:val="auto"/>
          <w:szCs w:val="32"/>
        </w:rPr>
        <w:t>。</w:t>
      </w:r>
      <w:r>
        <w:rPr>
          <w:rFonts w:hint="eastAsia" w:ascii="仿宋_GB2312" w:hAnsi="华文中宋" w:cs="Times New Roman"/>
          <w:bCs/>
          <w:color w:val="auto"/>
          <w:szCs w:val="32"/>
        </w:rPr>
        <w:t>积极承办全国创新创业大赛及省市创新创业</w:t>
      </w:r>
      <w:r>
        <w:rPr>
          <w:rFonts w:hint="eastAsia" w:ascii="仿宋_GB2312" w:hAnsi="华文中宋" w:cs="Times New Roman"/>
          <w:color w:val="auto"/>
          <w:szCs w:val="32"/>
        </w:rPr>
        <w:t>活动，鼓励高校联合区内创新型企业策划双创大赛，举办项目路演，激活大学生创业热情。</w:t>
      </w:r>
      <w:r>
        <w:rPr>
          <w:rFonts w:hint="eastAsia" w:ascii="仿宋_GB2312" w:hAnsi="Times New Roman" w:cs="Times New Roman"/>
          <w:color w:val="auto"/>
          <w:szCs w:val="32"/>
        </w:rPr>
        <w:t>围绕“3335”产业举办经开区科技成果转化对接活动，积极参与武汉科技成果转化大会、“海智专家荆楚行动”等各类创新创业活动。吸引国际学术组织、创新机构和跨国公司在武汉经开区举办高水平学术会议等科技创新活动。高规格举办“智能汽车发展论坛”“中国汽车蓝皮书论坛”“中国汽车供应链峰会”“中国企业家论坛”等创新交流活动，促进技术、项目、市场、资金、人才等多方位对接。</w:t>
      </w:r>
    </w:p>
    <w:p>
      <w:pPr>
        <w:adjustRightInd w:val="0"/>
        <w:snapToGrid w:val="0"/>
        <w:spacing w:line="360" w:lineRule="auto"/>
        <w:ind w:firstLine="0" w:firstLineChars="0"/>
        <w:jc w:val="center"/>
        <w:outlineLvl w:val="3"/>
        <w:rPr>
          <w:rFonts w:ascii="仿宋_GB2312" w:hAnsi="仿宋_GB2312" w:cs="宋体"/>
          <w:b/>
          <w:color w:val="auto"/>
          <w:sz w:val="30"/>
          <w:szCs w:val="30"/>
        </w:rPr>
      </w:pPr>
      <w:r>
        <w:rPr>
          <w:rFonts w:hint="eastAsia" w:ascii="仿宋_GB2312" w:hAnsi="仿宋_GB2312" w:cs="宋体"/>
          <w:b/>
          <w:color w:val="auto"/>
          <w:sz w:val="30"/>
          <w:szCs w:val="30"/>
        </w:rPr>
        <w:t>专栏</w:t>
      </w:r>
      <w:r>
        <w:rPr>
          <w:rFonts w:ascii="仿宋_GB2312" w:hAnsi="仿宋_GB2312" w:cs="宋体"/>
          <w:b/>
          <w:color w:val="auto"/>
          <w:sz w:val="30"/>
          <w:szCs w:val="30"/>
        </w:rPr>
        <w:t>8-1</w:t>
      </w:r>
      <w:r>
        <w:rPr>
          <w:rFonts w:hint="eastAsia" w:ascii="仿宋_GB2312" w:hAnsi="仿宋_GB2312" w:cs="宋体"/>
          <w:b/>
          <w:color w:val="auto"/>
          <w:sz w:val="30"/>
          <w:szCs w:val="30"/>
        </w:rPr>
        <w:t xml:space="preserve"> 打造“车谷汇”创新创业品牌活动</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pStyle w:val="9"/>
              <w:adjustRightInd w:val="0"/>
              <w:snapToGrid w:val="0"/>
              <w:spacing w:line="360" w:lineRule="auto"/>
              <w:ind w:firstLine="560"/>
              <w:rPr>
                <w:rFonts w:ascii="仿宋_GB2312" w:hAnsi="仿宋_GB2312" w:eastAsia="仿宋_GB2312" w:cs="宋体"/>
                <w:color w:val="auto"/>
                <w:sz w:val="28"/>
                <w:szCs w:val="22"/>
              </w:rPr>
            </w:pPr>
            <w:r>
              <w:rPr>
                <w:rFonts w:hint="eastAsia" w:ascii="仿宋_GB2312" w:hAnsi="仿宋_GB2312" w:eastAsia="仿宋_GB2312" w:cs="宋体"/>
                <w:color w:val="auto"/>
                <w:sz w:val="28"/>
                <w:szCs w:val="22"/>
              </w:rPr>
              <w:t>打造汇聚项目、资金、信息、人才、导师“五位一体”的双创品牌——“车谷汇”，通过政府采购，委托市场化机构运营，举办新能源与智能网联汽车、新材料、数字经济等产业专场活动。积极开展跨区域专场活动，与知名企业、院所等机构合作，组织车谷创业企业到创新高地路演，邀请海内外项目到车谷路演。建立与国内外知名投资机构、天使投资人等对接机制。加大活动宣传力度，提高品牌影响力。</w:t>
            </w:r>
          </w:p>
          <w:tbl>
            <w:tblPr>
              <w:tblStyle w:val="21"/>
              <w:tblW w:w="5000" w:type="pct"/>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72"/>
              <w:gridCol w:w="2608"/>
              <w:gridCol w:w="2374"/>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tblCellSpacing w:w="0" w:type="dxa"/>
              </w:trPr>
              <w:tc>
                <w:tcPr>
                  <w:tcW w:w="850" w:type="pct"/>
                  <w:tcBorders>
                    <w:top w:val="nil"/>
                    <w:left w:val="nil"/>
                    <w:bottom w:val="nil"/>
                    <w:right w:val="nil"/>
                  </w:tcBorders>
                  <w:shd w:val="clear" w:color="auto" w:fill="00702A"/>
                  <w:tcMar>
                    <w:top w:w="72" w:type="dxa"/>
                    <w:left w:w="144" w:type="dxa"/>
                    <w:bottom w:w="72" w:type="dxa"/>
                    <w:right w:w="144" w:type="dxa"/>
                  </w:tcMar>
                  <w:vAlign w:val="center"/>
                </w:tcPr>
                <w:p>
                  <w:pPr>
                    <w:pStyle w:val="9"/>
                    <w:adjustRightInd w:val="0"/>
                    <w:snapToGrid w:val="0"/>
                    <w:spacing w:line="360" w:lineRule="auto"/>
                    <w:ind w:firstLine="0" w:firstLineChars="0"/>
                    <w:jc w:val="center"/>
                    <w:rPr>
                      <w:rFonts w:ascii="仿宋_GB2312" w:hAnsi="仿宋_GB2312" w:eastAsia="仿宋_GB2312" w:cs="宋体"/>
                      <w:b/>
                      <w:bCs/>
                      <w:color w:val="FFFFFF" w:themeColor="background1"/>
                      <w:sz w:val="20"/>
                      <w:szCs w:val="16"/>
                      <w14:textFill>
                        <w14:solidFill>
                          <w14:schemeClr w14:val="bg1"/>
                        </w14:solidFill>
                      </w14:textFill>
                    </w:rPr>
                  </w:pPr>
                  <w:r>
                    <w:rPr>
                      <w:rFonts w:hint="eastAsia" w:ascii="仿宋_GB2312" w:hAnsi="仿宋_GB2312" w:eastAsia="仿宋_GB2312" w:cs="宋体"/>
                      <w:b/>
                      <w:bCs/>
                      <w:color w:val="FFFFFF" w:themeColor="background1"/>
                      <w:sz w:val="20"/>
                      <w:szCs w:val="16"/>
                      <w14:textFill>
                        <w14:solidFill>
                          <w14:schemeClr w14:val="bg1"/>
                        </w14:solidFill>
                      </w14:textFill>
                    </w:rPr>
                    <w:t>类型</w:t>
                  </w:r>
                </w:p>
              </w:tc>
              <w:tc>
                <w:tcPr>
                  <w:tcW w:w="1616" w:type="pct"/>
                  <w:tcBorders>
                    <w:top w:val="nil"/>
                    <w:left w:val="nil"/>
                    <w:bottom w:val="nil"/>
                    <w:right w:val="nil"/>
                  </w:tcBorders>
                  <w:shd w:val="clear" w:color="auto" w:fill="00702A"/>
                  <w:tcMar>
                    <w:top w:w="72" w:type="dxa"/>
                    <w:left w:w="144" w:type="dxa"/>
                    <w:bottom w:w="72" w:type="dxa"/>
                    <w:right w:w="144" w:type="dxa"/>
                  </w:tcMar>
                  <w:vAlign w:val="center"/>
                </w:tcPr>
                <w:p>
                  <w:pPr>
                    <w:pStyle w:val="9"/>
                    <w:adjustRightInd w:val="0"/>
                    <w:snapToGrid w:val="0"/>
                    <w:spacing w:line="360" w:lineRule="auto"/>
                    <w:ind w:firstLine="0" w:firstLineChars="0"/>
                    <w:jc w:val="center"/>
                    <w:rPr>
                      <w:rFonts w:ascii="仿宋_GB2312" w:hAnsi="仿宋_GB2312" w:eastAsia="仿宋_GB2312" w:cs="宋体"/>
                      <w:b/>
                      <w:bCs/>
                      <w:color w:val="FFFFFF" w:themeColor="background1"/>
                      <w:sz w:val="20"/>
                      <w:szCs w:val="16"/>
                      <w14:textFill>
                        <w14:solidFill>
                          <w14:schemeClr w14:val="bg1"/>
                        </w14:solidFill>
                      </w14:textFill>
                    </w:rPr>
                  </w:pPr>
                  <w:r>
                    <w:rPr>
                      <w:rFonts w:ascii="仿宋_GB2312" w:hAnsi="仿宋_GB2312" w:eastAsia="仿宋_GB2312" w:cs="宋体"/>
                      <w:b/>
                      <w:bCs/>
                      <w:color w:val="FFFFFF" w:themeColor="background1"/>
                      <w:sz w:val="20"/>
                      <w:szCs w:val="16"/>
                      <w14:textFill>
                        <w14:solidFill>
                          <w14:schemeClr w14:val="bg1"/>
                        </w14:solidFill>
                      </w14:textFill>
                    </w:rPr>
                    <w:t>面向群体/合作方</w:t>
                  </w:r>
                </w:p>
              </w:tc>
              <w:tc>
                <w:tcPr>
                  <w:tcW w:w="1471" w:type="pct"/>
                  <w:tcBorders>
                    <w:top w:val="nil"/>
                    <w:left w:val="nil"/>
                    <w:bottom w:val="nil"/>
                    <w:right w:val="nil"/>
                  </w:tcBorders>
                  <w:shd w:val="clear" w:color="auto" w:fill="00702A"/>
                  <w:tcMar>
                    <w:top w:w="72" w:type="dxa"/>
                    <w:left w:w="144" w:type="dxa"/>
                    <w:bottom w:w="72" w:type="dxa"/>
                    <w:right w:w="144" w:type="dxa"/>
                  </w:tcMar>
                  <w:vAlign w:val="center"/>
                </w:tcPr>
                <w:p>
                  <w:pPr>
                    <w:pStyle w:val="9"/>
                    <w:adjustRightInd w:val="0"/>
                    <w:snapToGrid w:val="0"/>
                    <w:spacing w:line="360" w:lineRule="auto"/>
                    <w:ind w:firstLine="0" w:firstLineChars="0"/>
                    <w:jc w:val="center"/>
                    <w:rPr>
                      <w:rFonts w:ascii="仿宋_GB2312" w:hAnsi="仿宋_GB2312" w:eastAsia="仿宋_GB2312" w:cs="宋体"/>
                      <w:b/>
                      <w:bCs/>
                      <w:color w:val="FFFFFF" w:themeColor="background1"/>
                      <w:sz w:val="20"/>
                      <w:szCs w:val="16"/>
                      <w14:textFill>
                        <w14:solidFill>
                          <w14:schemeClr w14:val="bg1"/>
                        </w14:solidFill>
                      </w14:textFill>
                    </w:rPr>
                  </w:pPr>
                  <w:r>
                    <w:rPr>
                      <w:rFonts w:ascii="仿宋_GB2312" w:hAnsi="仿宋_GB2312" w:eastAsia="仿宋_GB2312" w:cs="宋体"/>
                      <w:b/>
                      <w:bCs/>
                      <w:color w:val="FFFFFF" w:themeColor="background1"/>
                      <w:sz w:val="20"/>
                      <w:szCs w:val="16"/>
                      <w14:textFill>
                        <w14:solidFill>
                          <w14:schemeClr w14:val="bg1"/>
                        </w14:solidFill>
                      </w14:textFill>
                    </w:rPr>
                    <w:t>活动形式</w:t>
                  </w:r>
                </w:p>
              </w:tc>
              <w:tc>
                <w:tcPr>
                  <w:tcW w:w="1063" w:type="pct"/>
                  <w:tcBorders>
                    <w:top w:val="nil"/>
                    <w:left w:val="nil"/>
                    <w:bottom w:val="nil"/>
                    <w:right w:val="nil"/>
                  </w:tcBorders>
                  <w:shd w:val="clear" w:color="auto" w:fill="00702A"/>
                  <w:tcMar>
                    <w:top w:w="72" w:type="dxa"/>
                    <w:left w:w="144" w:type="dxa"/>
                    <w:bottom w:w="72" w:type="dxa"/>
                    <w:right w:w="144" w:type="dxa"/>
                  </w:tcMar>
                  <w:vAlign w:val="center"/>
                </w:tcPr>
                <w:p>
                  <w:pPr>
                    <w:pStyle w:val="9"/>
                    <w:adjustRightInd w:val="0"/>
                    <w:snapToGrid w:val="0"/>
                    <w:spacing w:line="360" w:lineRule="auto"/>
                    <w:ind w:firstLine="0" w:firstLineChars="0"/>
                    <w:jc w:val="center"/>
                    <w:rPr>
                      <w:rFonts w:ascii="仿宋_GB2312" w:hAnsi="仿宋_GB2312" w:eastAsia="仿宋_GB2312" w:cs="宋体"/>
                      <w:b/>
                      <w:bCs/>
                      <w:color w:val="FFFFFF" w:themeColor="background1"/>
                      <w:sz w:val="20"/>
                      <w:szCs w:val="16"/>
                      <w14:textFill>
                        <w14:solidFill>
                          <w14:schemeClr w14:val="bg1"/>
                        </w14:solidFill>
                      </w14:textFill>
                    </w:rPr>
                  </w:pPr>
                  <w:r>
                    <w:rPr>
                      <w:rFonts w:ascii="仿宋_GB2312" w:hAnsi="仿宋_GB2312" w:eastAsia="仿宋_GB2312" w:cs="宋体"/>
                      <w:b/>
                      <w:bCs/>
                      <w:color w:val="FFFFFF" w:themeColor="background1"/>
                      <w:sz w:val="20"/>
                      <w:szCs w:val="16"/>
                      <w14:textFill>
                        <w14:solidFill>
                          <w14:schemeClr w14:val="bg1"/>
                        </w14:solidFill>
                      </w14:textFill>
                    </w:rPr>
                    <w:t>承办方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tblCellSpacing w:w="0" w:type="dxa"/>
              </w:trPr>
              <w:tc>
                <w:tcPr>
                  <w:tcW w:w="850" w:type="pct"/>
                  <w:shd w:val="clear" w:color="auto" w:fill="auto"/>
                  <w:tcMar>
                    <w:top w:w="72" w:type="dxa"/>
                    <w:left w:w="144" w:type="dxa"/>
                    <w:bottom w:w="72" w:type="dxa"/>
                    <w:right w:w="144" w:type="dxa"/>
                  </w:tcMar>
                  <w:vAlign w:val="center"/>
                </w:tcPr>
                <w:p>
                  <w:pPr>
                    <w:pStyle w:val="9"/>
                    <w:adjustRightInd w:val="0"/>
                    <w:snapToGrid w:val="0"/>
                    <w:spacing w:line="360" w:lineRule="auto"/>
                    <w:ind w:firstLine="0" w:firstLineChars="0"/>
                    <w:jc w:val="center"/>
                    <w:rPr>
                      <w:rFonts w:ascii="仿宋_GB2312" w:hAnsi="仿宋_GB2312" w:eastAsia="仿宋_GB2312" w:cs="宋体"/>
                      <w:color w:val="auto"/>
                      <w:sz w:val="20"/>
                      <w:szCs w:val="16"/>
                    </w:rPr>
                  </w:pPr>
                  <w:r>
                    <w:rPr>
                      <w:rFonts w:ascii="仿宋_GB2312" w:hAnsi="仿宋_GB2312" w:eastAsia="仿宋_GB2312" w:cs="宋体"/>
                      <w:color w:val="auto"/>
                      <w:sz w:val="20"/>
                      <w:szCs w:val="16"/>
                    </w:rPr>
                    <w:t>高校专场</w:t>
                  </w:r>
                </w:p>
              </w:tc>
              <w:tc>
                <w:tcPr>
                  <w:tcW w:w="1616" w:type="pct"/>
                  <w:shd w:val="clear" w:color="auto" w:fill="auto"/>
                  <w:tcMar>
                    <w:top w:w="72" w:type="dxa"/>
                    <w:left w:w="144" w:type="dxa"/>
                    <w:bottom w:w="72" w:type="dxa"/>
                    <w:right w:w="144" w:type="dxa"/>
                  </w:tcMar>
                  <w:vAlign w:val="center"/>
                </w:tcPr>
                <w:p>
                  <w:pPr>
                    <w:pStyle w:val="9"/>
                    <w:adjustRightInd w:val="0"/>
                    <w:snapToGrid w:val="0"/>
                    <w:spacing w:line="360" w:lineRule="auto"/>
                    <w:ind w:firstLine="0" w:firstLineChars="0"/>
                    <w:jc w:val="center"/>
                    <w:rPr>
                      <w:rFonts w:ascii="仿宋_GB2312" w:hAnsi="仿宋_GB2312" w:eastAsia="仿宋_GB2312" w:cs="宋体"/>
                      <w:color w:val="auto"/>
                      <w:sz w:val="20"/>
                      <w:szCs w:val="16"/>
                    </w:rPr>
                  </w:pPr>
                  <w:r>
                    <w:rPr>
                      <w:rFonts w:ascii="仿宋_GB2312" w:hAnsi="仿宋_GB2312" w:eastAsia="仿宋_GB2312" w:cs="宋体"/>
                      <w:color w:val="auto"/>
                      <w:sz w:val="20"/>
                      <w:szCs w:val="16"/>
                    </w:rPr>
                    <w:t>武汉大学、</w:t>
                  </w:r>
                  <w:r>
                    <w:rPr>
                      <w:rFonts w:hint="eastAsia" w:ascii="仿宋_GB2312" w:hAnsi="仿宋_GB2312" w:eastAsia="仿宋_GB2312" w:cs="宋体"/>
                      <w:color w:val="auto"/>
                      <w:sz w:val="20"/>
                      <w:szCs w:val="16"/>
                    </w:rPr>
                    <w:t>华中科大、</w:t>
                  </w:r>
                  <w:r>
                    <w:rPr>
                      <w:rFonts w:ascii="仿宋_GB2312" w:hAnsi="仿宋_GB2312" w:eastAsia="仿宋_GB2312" w:cs="宋体"/>
                      <w:color w:val="auto"/>
                      <w:sz w:val="20"/>
                      <w:szCs w:val="16"/>
                    </w:rPr>
                    <w:t>武汉理工、江汉大学等高校</w:t>
                  </w:r>
                </w:p>
              </w:tc>
              <w:tc>
                <w:tcPr>
                  <w:tcW w:w="1471" w:type="pct"/>
                  <w:vMerge w:val="restart"/>
                  <w:shd w:val="clear" w:color="auto" w:fill="auto"/>
                  <w:tcMar>
                    <w:top w:w="72" w:type="dxa"/>
                    <w:left w:w="144" w:type="dxa"/>
                    <w:bottom w:w="72" w:type="dxa"/>
                    <w:right w:w="144" w:type="dxa"/>
                  </w:tcMar>
                  <w:vAlign w:val="center"/>
                </w:tcPr>
                <w:p>
                  <w:pPr>
                    <w:pStyle w:val="9"/>
                    <w:adjustRightInd w:val="0"/>
                    <w:snapToGrid w:val="0"/>
                    <w:spacing w:line="360" w:lineRule="auto"/>
                    <w:ind w:firstLine="0" w:firstLineChars="0"/>
                    <w:jc w:val="center"/>
                    <w:rPr>
                      <w:rFonts w:ascii="仿宋_GB2312" w:hAnsi="仿宋_GB2312" w:eastAsia="仿宋_GB2312" w:cs="宋体"/>
                      <w:color w:val="auto"/>
                      <w:sz w:val="20"/>
                      <w:szCs w:val="16"/>
                    </w:rPr>
                  </w:pPr>
                  <w:r>
                    <w:rPr>
                      <w:rFonts w:ascii="仿宋_GB2312" w:hAnsi="仿宋_GB2312" w:eastAsia="仿宋_GB2312" w:cs="宋体"/>
                      <w:color w:val="auto"/>
                      <w:sz w:val="20"/>
                      <w:szCs w:val="16"/>
                    </w:rPr>
                    <w:t>项目路演：对</w:t>
                  </w:r>
                  <w:r>
                    <w:rPr>
                      <w:rFonts w:hint="eastAsia" w:ascii="仿宋_GB2312" w:hAnsi="仿宋_GB2312" w:eastAsia="仿宋_GB2312" w:cs="宋体"/>
                      <w:color w:val="auto"/>
                      <w:sz w:val="20"/>
                      <w:szCs w:val="16"/>
                    </w:rPr>
                    <w:t>优秀</w:t>
                  </w:r>
                  <w:r>
                    <w:rPr>
                      <w:rFonts w:ascii="仿宋_GB2312" w:hAnsi="仿宋_GB2312" w:eastAsia="仿宋_GB2312" w:cs="宋体"/>
                      <w:color w:val="auto"/>
                      <w:sz w:val="20"/>
                      <w:szCs w:val="16"/>
                    </w:rPr>
                    <w:t>的创业团队提供专项奖励、园区专人对接、项目投融资跟进等服务</w:t>
                  </w:r>
                </w:p>
              </w:tc>
              <w:tc>
                <w:tcPr>
                  <w:tcW w:w="1063" w:type="pct"/>
                  <w:vMerge w:val="restart"/>
                  <w:shd w:val="clear" w:color="auto" w:fill="auto"/>
                  <w:tcMar>
                    <w:top w:w="72" w:type="dxa"/>
                    <w:left w:w="144" w:type="dxa"/>
                    <w:bottom w:w="72" w:type="dxa"/>
                    <w:right w:w="144" w:type="dxa"/>
                  </w:tcMar>
                  <w:vAlign w:val="center"/>
                </w:tcPr>
                <w:p>
                  <w:pPr>
                    <w:pStyle w:val="9"/>
                    <w:adjustRightInd w:val="0"/>
                    <w:snapToGrid w:val="0"/>
                    <w:spacing w:line="360" w:lineRule="auto"/>
                    <w:ind w:firstLine="0" w:firstLineChars="0"/>
                    <w:jc w:val="center"/>
                    <w:rPr>
                      <w:rFonts w:ascii="仿宋_GB2312" w:hAnsi="仿宋_GB2312" w:eastAsia="仿宋_GB2312" w:cs="宋体"/>
                      <w:color w:val="auto"/>
                      <w:sz w:val="20"/>
                      <w:szCs w:val="16"/>
                    </w:rPr>
                  </w:pPr>
                  <w:r>
                    <w:rPr>
                      <w:rFonts w:ascii="仿宋_GB2312" w:hAnsi="仿宋_GB2312" w:eastAsia="仿宋_GB2312" w:cs="宋体"/>
                      <w:color w:val="auto"/>
                      <w:sz w:val="20"/>
                      <w:szCs w:val="16"/>
                    </w:rPr>
                    <w:t>委托市场化专业机构承办，采取政府采购、补贴奖励等方式支持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tblCellSpacing w:w="0" w:type="dxa"/>
              </w:trPr>
              <w:tc>
                <w:tcPr>
                  <w:tcW w:w="850" w:type="pct"/>
                  <w:shd w:val="clear" w:color="auto" w:fill="auto"/>
                  <w:tcMar>
                    <w:top w:w="72" w:type="dxa"/>
                    <w:left w:w="144" w:type="dxa"/>
                    <w:bottom w:w="72" w:type="dxa"/>
                    <w:right w:w="144" w:type="dxa"/>
                  </w:tcMar>
                  <w:vAlign w:val="center"/>
                </w:tcPr>
                <w:p>
                  <w:pPr>
                    <w:pStyle w:val="9"/>
                    <w:adjustRightInd w:val="0"/>
                    <w:snapToGrid w:val="0"/>
                    <w:spacing w:line="360" w:lineRule="auto"/>
                    <w:ind w:firstLine="0" w:firstLineChars="0"/>
                    <w:jc w:val="center"/>
                    <w:rPr>
                      <w:rFonts w:ascii="仿宋_GB2312" w:hAnsi="仿宋_GB2312" w:eastAsia="仿宋_GB2312" w:cs="宋体"/>
                      <w:color w:val="auto"/>
                      <w:sz w:val="20"/>
                      <w:szCs w:val="16"/>
                    </w:rPr>
                  </w:pPr>
                  <w:r>
                    <w:rPr>
                      <w:rFonts w:hint="eastAsia" w:ascii="仿宋_GB2312" w:hAnsi="仿宋_GB2312" w:eastAsia="仿宋_GB2312" w:cs="宋体"/>
                      <w:color w:val="auto"/>
                      <w:sz w:val="20"/>
                      <w:szCs w:val="16"/>
                    </w:rPr>
                    <w:t>产业</w:t>
                  </w:r>
                  <w:r>
                    <w:rPr>
                      <w:rFonts w:ascii="仿宋_GB2312" w:hAnsi="仿宋_GB2312" w:eastAsia="仿宋_GB2312" w:cs="宋体"/>
                      <w:color w:val="auto"/>
                      <w:sz w:val="20"/>
                      <w:szCs w:val="16"/>
                    </w:rPr>
                    <w:t>专场</w:t>
                  </w:r>
                </w:p>
              </w:tc>
              <w:tc>
                <w:tcPr>
                  <w:tcW w:w="1616" w:type="pct"/>
                  <w:shd w:val="clear" w:color="auto" w:fill="auto"/>
                  <w:tcMar>
                    <w:top w:w="72" w:type="dxa"/>
                    <w:left w:w="144" w:type="dxa"/>
                    <w:bottom w:w="72" w:type="dxa"/>
                    <w:right w:w="144" w:type="dxa"/>
                  </w:tcMar>
                  <w:vAlign w:val="center"/>
                </w:tcPr>
                <w:p>
                  <w:pPr>
                    <w:pStyle w:val="9"/>
                    <w:adjustRightInd w:val="0"/>
                    <w:snapToGrid w:val="0"/>
                    <w:spacing w:line="360" w:lineRule="auto"/>
                    <w:ind w:firstLine="0" w:firstLineChars="0"/>
                    <w:jc w:val="center"/>
                    <w:rPr>
                      <w:rFonts w:ascii="仿宋_GB2312" w:hAnsi="仿宋_GB2312" w:eastAsia="仿宋_GB2312" w:cs="宋体"/>
                      <w:color w:val="auto"/>
                      <w:sz w:val="20"/>
                      <w:szCs w:val="16"/>
                    </w:rPr>
                  </w:pPr>
                  <w:r>
                    <w:rPr>
                      <w:rFonts w:ascii="仿宋_GB2312" w:hAnsi="仿宋_GB2312" w:eastAsia="仿宋_GB2312" w:cs="宋体"/>
                      <w:color w:val="auto"/>
                      <w:sz w:val="20"/>
                      <w:szCs w:val="16"/>
                    </w:rPr>
                    <w:t>汽车、新材料、新能源等产业专场</w:t>
                  </w:r>
                </w:p>
              </w:tc>
              <w:tc>
                <w:tcPr>
                  <w:tcW w:w="1471" w:type="pct"/>
                  <w:vMerge w:val="continue"/>
                  <w:shd w:val="clear" w:color="auto" w:fill="auto"/>
                  <w:tcMar>
                    <w:top w:w="72" w:type="dxa"/>
                    <w:left w:w="144" w:type="dxa"/>
                    <w:bottom w:w="72" w:type="dxa"/>
                    <w:right w:w="144" w:type="dxa"/>
                  </w:tcMar>
                  <w:vAlign w:val="center"/>
                </w:tcPr>
                <w:p>
                  <w:pPr>
                    <w:pStyle w:val="9"/>
                    <w:adjustRightInd w:val="0"/>
                    <w:snapToGrid w:val="0"/>
                    <w:spacing w:line="360" w:lineRule="auto"/>
                    <w:ind w:firstLine="0" w:firstLineChars="0"/>
                    <w:jc w:val="center"/>
                    <w:rPr>
                      <w:rFonts w:ascii="仿宋_GB2312" w:hAnsi="仿宋_GB2312" w:eastAsia="仿宋_GB2312" w:cs="宋体"/>
                      <w:color w:val="auto"/>
                      <w:sz w:val="20"/>
                      <w:szCs w:val="16"/>
                    </w:rPr>
                  </w:pPr>
                </w:p>
              </w:tc>
              <w:tc>
                <w:tcPr>
                  <w:tcW w:w="1063" w:type="pct"/>
                  <w:vMerge w:val="continue"/>
                  <w:shd w:val="clear" w:color="auto" w:fill="F2F2F2"/>
                  <w:tcMar>
                    <w:top w:w="72" w:type="dxa"/>
                    <w:left w:w="144" w:type="dxa"/>
                    <w:bottom w:w="72" w:type="dxa"/>
                    <w:right w:w="144" w:type="dxa"/>
                  </w:tcMar>
                  <w:vAlign w:val="center"/>
                </w:tcPr>
                <w:p>
                  <w:pPr>
                    <w:pStyle w:val="9"/>
                    <w:adjustRightInd w:val="0"/>
                    <w:snapToGrid w:val="0"/>
                    <w:spacing w:line="360" w:lineRule="auto"/>
                    <w:ind w:firstLine="0" w:firstLineChars="0"/>
                    <w:rPr>
                      <w:rFonts w:ascii="仿宋_GB2312" w:hAnsi="仿宋_GB2312" w:eastAsia="仿宋_GB2312" w:cs="宋体"/>
                      <w:color w:val="auto"/>
                      <w:sz w:val="20"/>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7" w:hRule="atLeast"/>
                <w:tblCellSpacing w:w="0" w:type="dxa"/>
              </w:trPr>
              <w:tc>
                <w:tcPr>
                  <w:tcW w:w="850" w:type="pct"/>
                  <w:shd w:val="clear" w:color="auto" w:fill="auto"/>
                  <w:tcMar>
                    <w:top w:w="72" w:type="dxa"/>
                    <w:left w:w="144" w:type="dxa"/>
                    <w:bottom w:w="72" w:type="dxa"/>
                    <w:right w:w="144" w:type="dxa"/>
                  </w:tcMar>
                  <w:vAlign w:val="center"/>
                </w:tcPr>
                <w:p>
                  <w:pPr>
                    <w:pStyle w:val="9"/>
                    <w:adjustRightInd w:val="0"/>
                    <w:snapToGrid w:val="0"/>
                    <w:spacing w:line="360" w:lineRule="auto"/>
                    <w:ind w:firstLine="0" w:firstLineChars="0"/>
                    <w:jc w:val="center"/>
                    <w:rPr>
                      <w:rFonts w:ascii="仿宋_GB2312" w:hAnsi="仿宋_GB2312" w:eastAsia="仿宋_GB2312" w:cs="宋体"/>
                      <w:color w:val="auto"/>
                      <w:sz w:val="20"/>
                      <w:szCs w:val="16"/>
                    </w:rPr>
                  </w:pPr>
                  <w:r>
                    <w:rPr>
                      <w:rFonts w:ascii="仿宋_GB2312" w:hAnsi="仿宋_GB2312" w:eastAsia="仿宋_GB2312" w:cs="宋体"/>
                      <w:color w:val="auto"/>
                      <w:sz w:val="20"/>
                      <w:szCs w:val="16"/>
                    </w:rPr>
                    <w:t>武汉市</w:t>
                  </w:r>
                </w:p>
                <w:p>
                  <w:pPr>
                    <w:pStyle w:val="9"/>
                    <w:adjustRightInd w:val="0"/>
                    <w:snapToGrid w:val="0"/>
                    <w:spacing w:line="360" w:lineRule="auto"/>
                    <w:ind w:firstLine="0" w:firstLineChars="0"/>
                    <w:jc w:val="center"/>
                    <w:rPr>
                      <w:rFonts w:ascii="仿宋_GB2312" w:hAnsi="仿宋_GB2312" w:eastAsia="仿宋_GB2312" w:cs="宋体"/>
                      <w:color w:val="auto"/>
                      <w:sz w:val="20"/>
                      <w:szCs w:val="16"/>
                    </w:rPr>
                  </w:pPr>
                  <w:r>
                    <w:rPr>
                      <w:rFonts w:ascii="仿宋_GB2312" w:hAnsi="仿宋_GB2312" w:eastAsia="仿宋_GB2312" w:cs="宋体"/>
                      <w:color w:val="auto"/>
                      <w:sz w:val="20"/>
                      <w:szCs w:val="16"/>
                    </w:rPr>
                    <w:t>专场</w:t>
                  </w:r>
                </w:p>
              </w:tc>
              <w:tc>
                <w:tcPr>
                  <w:tcW w:w="1616" w:type="pct"/>
                  <w:shd w:val="clear" w:color="auto" w:fill="auto"/>
                  <w:tcMar>
                    <w:top w:w="72" w:type="dxa"/>
                    <w:left w:w="144" w:type="dxa"/>
                    <w:bottom w:w="72" w:type="dxa"/>
                    <w:right w:w="144" w:type="dxa"/>
                  </w:tcMar>
                  <w:vAlign w:val="center"/>
                </w:tcPr>
                <w:p>
                  <w:pPr>
                    <w:pStyle w:val="9"/>
                    <w:adjustRightInd w:val="0"/>
                    <w:snapToGrid w:val="0"/>
                    <w:spacing w:line="360" w:lineRule="auto"/>
                    <w:ind w:firstLine="0" w:firstLineChars="0"/>
                    <w:jc w:val="center"/>
                    <w:rPr>
                      <w:rFonts w:ascii="仿宋_GB2312" w:hAnsi="仿宋_GB2312" w:eastAsia="仿宋_GB2312" w:cs="宋体"/>
                      <w:color w:val="auto"/>
                      <w:sz w:val="20"/>
                      <w:szCs w:val="16"/>
                    </w:rPr>
                  </w:pPr>
                  <w:r>
                    <w:rPr>
                      <w:rFonts w:ascii="仿宋_GB2312" w:hAnsi="仿宋_GB2312" w:eastAsia="仿宋_GB2312" w:cs="宋体"/>
                      <w:color w:val="auto"/>
                      <w:sz w:val="20"/>
                      <w:szCs w:val="16"/>
                    </w:rPr>
                    <w:t>联合武汉市及</w:t>
                  </w:r>
                  <w:r>
                    <w:rPr>
                      <w:rFonts w:hint="eastAsia" w:ascii="仿宋_GB2312" w:hAnsi="仿宋_GB2312" w:eastAsia="仿宋_GB2312" w:cs="宋体"/>
                      <w:color w:val="auto"/>
                      <w:sz w:val="20"/>
                      <w:szCs w:val="16"/>
                    </w:rPr>
                    <w:t>各区</w:t>
                  </w:r>
                </w:p>
              </w:tc>
              <w:tc>
                <w:tcPr>
                  <w:tcW w:w="1471" w:type="pct"/>
                  <w:shd w:val="clear" w:color="auto" w:fill="auto"/>
                  <w:tcMar>
                    <w:top w:w="72" w:type="dxa"/>
                    <w:left w:w="144" w:type="dxa"/>
                    <w:bottom w:w="72" w:type="dxa"/>
                    <w:right w:w="144" w:type="dxa"/>
                  </w:tcMar>
                  <w:vAlign w:val="center"/>
                </w:tcPr>
                <w:p>
                  <w:pPr>
                    <w:pStyle w:val="9"/>
                    <w:adjustRightInd w:val="0"/>
                    <w:snapToGrid w:val="0"/>
                    <w:spacing w:line="360" w:lineRule="auto"/>
                    <w:ind w:firstLine="0" w:firstLineChars="0"/>
                    <w:jc w:val="center"/>
                    <w:rPr>
                      <w:rFonts w:ascii="仿宋_GB2312" w:hAnsi="仿宋_GB2312" w:eastAsia="仿宋_GB2312" w:cs="宋体"/>
                      <w:color w:val="auto"/>
                      <w:sz w:val="20"/>
                      <w:szCs w:val="16"/>
                    </w:rPr>
                  </w:pPr>
                  <w:r>
                    <w:rPr>
                      <w:rFonts w:ascii="仿宋_GB2312" w:hAnsi="仿宋_GB2312" w:eastAsia="仿宋_GB2312" w:cs="宋体"/>
                      <w:color w:val="auto"/>
                      <w:sz w:val="20"/>
                      <w:szCs w:val="16"/>
                    </w:rPr>
                    <w:t>创新创业科普、沙龙、路演</w:t>
                  </w:r>
                </w:p>
              </w:tc>
              <w:tc>
                <w:tcPr>
                  <w:tcW w:w="1063" w:type="pct"/>
                  <w:vMerge w:val="continue"/>
                  <w:shd w:val="clear" w:color="auto" w:fill="F2F2F2"/>
                  <w:tcMar>
                    <w:top w:w="72" w:type="dxa"/>
                    <w:left w:w="144" w:type="dxa"/>
                    <w:bottom w:w="72" w:type="dxa"/>
                    <w:right w:w="144" w:type="dxa"/>
                  </w:tcMar>
                  <w:vAlign w:val="center"/>
                </w:tcPr>
                <w:p>
                  <w:pPr>
                    <w:pStyle w:val="9"/>
                    <w:adjustRightInd w:val="0"/>
                    <w:snapToGrid w:val="0"/>
                    <w:spacing w:line="360" w:lineRule="auto"/>
                    <w:ind w:firstLine="0" w:firstLineChars="0"/>
                    <w:rPr>
                      <w:rFonts w:ascii="仿宋_GB2312" w:hAnsi="仿宋_GB2312" w:eastAsia="仿宋_GB2312" w:cs="宋体"/>
                      <w:color w:val="auto"/>
                      <w:sz w:val="20"/>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0" w:hRule="atLeast"/>
                <w:tblCellSpacing w:w="0" w:type="dxa"/>
              </w:trPr>
              <w:tc>
                <w:tcPr>
                  <w:tcW w:w="850" w:type="pct"/>
                  <w:shd w:val="clear" w:color="auto" w:fill="auto"/>
                  <w:tcMar>
                    <w:top w:w="72" w:type="dxa"/>
                    <w:left w:w="144" w:type="dxa"/>
                    <w:bottom w:w="72" w:type="dxa"/>
                    <w:right w:w="144" w:type="dxa"/>
                  </w:tcMar>
                  <w:vAlign w:val="center"/>
                </w:tcPr>
                <w:p>
                  <w:pPr>
                    <w:pStyle w:val="9"/>
                    <w:adjustRightInd w:val="0"/>
                    <w:snapToGrid w:val="0"/>
                    <w:spacing w:line="360" w:lineRule="auto"/>
                    <w:ind w:firstLine="0" w:firstLineChars="0"/>
                    <w:jc w:val="center"/>
                    <w:rPr>
                      <w:rFonts w:ascii="仿宋_GB2312" w:hAnsi="仿宋_GB2312" w:eastAsia="仿宋_GB2312" w:cs="宋体"/>
                      <w:color w:val="auto"/>
                      <w:sz w:val="20"/>
                      <w:szCs w:val="16"/>
                    </w:rPr>
                  </w:pPr>
                  <w:r>
                    <w:rPr>
                      <w:rFonts w:ascii="仿宋_GB2312" w:hAnsi="仿宋_GB2312" w:eastAsia="仿宋_GB2312" w:cs="宋体"/>
                      <w:color w:val="auto"/>
                      <w:sz w:val="20"/>
                      <w:szCs w:val="16"/>
                    </w:rPr>
                    <w:t>全国双创高地专场</w:t>
                  </w:r>
                </w:p>
              </w:tc>
              <w:tc>
                <w:tcPr>
                  <w:tcW w:w="1616" w:type="pct"/>
                  <w:shd w:val="clear" w:color="auto" w:fill="auto"/>
                  <w:tcMar>
                    <w:top w:w="72" w:type="dxa"/>
                    <w:left w:w="144" w:type="dxa"/>
                    <w:bottom w:w="72" w:type="dxa"/>
                    <w:right w:w="144" w:type="dxa"/>
                  </w:tcMar>
                  <w:vAlign w:val="center"/>
                </w:tcPr>
                <w:p>
                  <w:pPr>
                    <w:pStyle w:val="9"/>
                    <w:adjustRightInd w:val="0"/>
                    <w:snapToGrid w:val="0"/>
                    <w:spacing w:line="360" w:lineRule="auto"/>
                    <w:ind w:firstLine="0" w:firstLineChars="0"/>
                    <w:jc w:val="center"/>
                    <w:rPr>
                      <w:rFonts w:ascii="仿宋_GB2312" w:hAnsi="仿宋_GB2312" w:eastAsia="仿宋_GB2312" w:cs="宋体"/>
                      <w:color w:val="auto"/>
                      <w:sz w:val="20"/>
                      <w:szCs w:val="16"/>
                    </w:rPr>
                  </w:pPr>
                  <w:r>
                    <w:rPr>
                      <w:rFonts w:ascii="仿宋_GB2312" w:hAnsi="仿宋_GB2312" w:eastAsia="仿宋_GB2312" w:cs="宋体"/>
                      <w:color w:val="auto"/>
                      <w:sz w:val="20"/>
                      <w:szCs w:val="16"/>
                    </w:rPr>
                    <w:t>北京中关村、上海张江、苏州工</w:t>
                  </w:r>
                  <w:r>
                    <w:rPr>
                      <w:rFonts w:hint="eastAsia" w:ascii="仿宋_GB2312" w:hAnsi="仿宋_GB2312" w:eastAsia="仿宋_GB2312" w:cs="宋体"/>
                      <w:color w:val="auto"/>
                      <w:sz w:val="20"/>
                      <w:szCs w:val="16"/>
                    </w:rPr>
                    <w:t>业园</w:t>
                  </w:r>
                  <w:r>
                    <w:rPr>
                      <w:rFonts w:ascii="仿宋_GB2312" w:hAnsi="仿宋_GB2312" w:eastAsia="仿宋_GB2312" w:cs="宋体"/>
                      <w:color w:val="auto"/>
                      <w:sz w:val="20"/>
                      <w:szCs w:val="16"/>
                    </w:rPr>
                    <w:t>、深圳等地</w:t>
                  </w:r>
                </w:p>
              </w:tc>
              <w:tc>
                <w:tcPr>
                  <w:tcW w:w="1471" w:type="pct"/>
                  <w:shd w:val="clear" w:color="auto" w:fill="auto"/>
                  <w:tcMar>
                    <w:top w:w="72" w:type="dxa"/>
                    <w:left w:w="144" w:type="dxa"/>
                    <w:bottom w:w="72" w:type="dxa"/>
                    <w:right w:w="144" w:type="dxa"/>
                  </w:tcMar>
                  <w:vAlign w:val="center"/>
                </w:tcPr>
                <w:p>
                  <w:pPr>
                    <w:pStyle w:val="9"/>
                    <w:adjustRightInd w:val="0"/>
                    <w:snapToGrid w:val="0"/>
                    <w:spacing w:line="360" w:lineRule="auto"/>
                    <w:ind w:firstLine="0" w:firstLineChars="0"/>
                    <w:jc w:val="center"/>
                    <w:rPr>
                      <w:rFonts w:ascii="仿宋_GB2312" w:hAnsi="仿宋_GB2312" w:eastAsia="仿宋_GB2312" w:cs="宋体"/>
                      <w:color w:val="auto"/>
                      <w:sz w:val="20"/>
                      <w:szCs w:val="16"/>
                    </w:rPr>
                  </w:pPr>
                  <w:r>
                    <w:rPr>
                      <w:rFonts w:ascii="仿宋_GB2312" w:hAnsi="仿宋_GB2312" w:eastAsia="仿宋_GB2312" w:cs="宋体"/>
                      <w:color w:val="auto"/>
                      <w:sz w:val="20"/>
                      <w:szCs w:val="16"/>
                    </w:rPr>
                    <w:t>项目路演、资本对接</w:t>
                  </w:r>
                </w:p>
              </w:tc>
              <w:tc>
                <w:tcPr>
                  <w:tcW w:w="1063" w:type="pct"/>
                  <w:vMerge w:val="continue"/>
                  <w:shd w:val="clear" w:color="auto" w:fill="F2F2F2"/>
                  <w:tcMar>
                    <w:top w:w="72" w:type="dxa"/>
                    <w:left w:w="144" w:type="dxa"/>
                    <w:bottom w:w="72" w:type="dxa"/>
                    <w:right w:w="144" w:type="dxa"/>
                  </w:tcMar>
                  <w:vAlign w:val="center"/>
                </w:tcPr>
                <w:p>
                  <w:pPr>
                    <w:pStyle w:val="9"/>
                    <w:adjustRightInd w:val="0"/>
                    <w:snapToGrid w:val="0"/>
                    <w:spacing w:line="360" w:lineRule="auto"/>
                    <w:ind w:firstLine="0" w:firstLineChars="0"/>
                    <w:rPr>
                      <w:rFonts w:ascii="仿宋_GB2312" w:hAnsi="仿宋_GB2312" w:eastAsia="仿宋_GB2312" w:cs="宋体"/>
                      <w:color w:val="auto"/>
                      <w:sz w:val="20"/>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0" w:hRule="atLeast"/>
                <w:tblCellSpacing w:w="0" w:type="dxa"/>
              </w:trPr>
              <w:tc>
                <w:tcPr>
                  <w:tcW w:w="850" w:type="pct"/>
                  <w:shd w:val="clear" w:color="auto" w:fill="auto"/>
                  <w:tcMar>
                    <w:top w:w="72" w:type="dxa"/>
                    <w:left w:w="144" w:type="dxa"/>
                    <w:bottom w:w="72" w:type="dxa"/>
                    <w:right w:w="144" w:type="dxa"/>
                  </w:tcMar>
                  <w:vAlign w:val="center"/>
                </w:tcPr>
                <w:p>
                  <w:pPr>
                    <w:pStyle w:val="9"/>
                    <w:adjustRightInd w:val="0"/>
                    <w:snapToGrid w:val="0"/>
                    <w:spacing w:line="360" w:lineRule="auto"/>
                    <w:ind w:firstLine="0" w:firstLineChars="0"/>
                    <w:jc w:val="center"/>
                    <w:rPr>
                      <w:rFonts w:ascii="仿宋_GB2312" w:hAnsi="仿宋_GB2312" w:eastAsia="仿宋_GB2312" w:cs="宋体"/>
                      <w:color w:val="auto"/>
                      <w:sz w:val="20"/>
                      <w:szCs w:val="16"/>
                    </w:rPr>
                  </w:pPr>
                  <w:r>
                    <w:rPr>
                      <w:rFonts w:ascii="仿宋_GB2312" w:hAnsi="仿宋_GB2312" w:eastAsia="仿宋_GB2312" w:cs="宋体"/>
                      <w:color w:val="auto"/>
                      <w:sz w:val="20"/>
                      <w:szCs w:val="16"/>
                    </w:rPr>
                    <w:t>国际创新尖峰专场</w:t>
                  </w:r>
                </w:p>
              </w:tc>
              <w:tc>
                <w:tcPr>
                  <w:tcW w:w="1616" w:type="pct"/>
                  <w:shd w:val="clear" w:color="auto" w:fill="auto"/>
                  <w:tcMar>
                    <w:top w:w="72" w:type="dxa"/>
                    <w:left w:w="144" w:type="dxa"/>
                    <w:bottom w:w="72" w:type="dxa"/>
                    <w:right w:w="144" w:type="dxa"/>
                  </w:tcMar>
                  <w:vAlign w:val="center"/>
                </w:tcPr>
                <w:p>
                  <w:pPr>
                    <w:pStyle w:val="9"/>
                    <w:adjustRightInd w:val="0"/>
                    <w:snapToGrid w:val="0"/>
                    <w:spacing w:line="360" w:lineRule="auto"/>
                    <w:ind w:firstLine="0" w:firstLineChars="0"/>
                    <w:jc w:val="center"/>
                    <w:rPr>
                      <w:rFonts w:ascii="仿宋_GB2312" w:hAnsi="仿宋_GB2312" w:eastAsia="仿宋_GB2312" w:cs="宋体"/>
                      <w:color w:val="auto"/>
                      <w:sz w:val="20"/>
                      <w:szCs w:val="16"/>
                    </w:rPr>
                  </w:pPr>
                  <w:r>
                    <w:rPr>
                      <w:rFonts w:ascii="仿宋_GB2312" w:hAnsi="仿宋_GB2312" w:eastAsia="仿宋_GB2312" w:cs="宋体"/>
                      <w:color w:val="auto"/>
                      <w:sz w:val="20"/>
                      <w:szCs w:val="16"/>
                    </w:rPr>
                    <w:t>一带一路沿线园区</w:t>
                  </w:r>
                  <w:r>
                    <w:rPr>
                      <w:rFonts w:hint="eastAsia" w:ascii="仿宋_GB2312" w:hAnsi="仿宋_GB2312" w:eastAsia="仿宋_GB2312" w:cs="宋体"/>
                      <w:color w:val="auto"/>
                      <w:sz w:val="20"/>
                      <w:szCs w:val="16"/>
                    </w:rPr>
                    <w:t>、</w:t>
                  </w:r>
                  <w:r>
                    <w:rPr>
                      <w:rFonts w:ascii="仿宋_GB2312" w:hAnsi="仿宋_GB2312" w:eastAsia="仿宋_GB2312" w:cs="宋体"/>
                      <w:color w:val="auto"/>
                      <w:sz w:val="20"/>
                      <w:szCs w:val="16"/>
                    </w:rPr>
                    <w:t>高校</w:t>
                  </w:r>
                  <w:r>
                    <w:rPr>
                      <w:rFonts w:hint="eastAsia" w:ascii="仿宋_GB2312" w:hAnsi="仿宋_GB2312" w:eastAsia="仿宋_GB2312" w:cs="宋体"/>
                      <w:color w:val="auto"/>
                      <w:sz w:val="20"/>
                      <w:szCs w:val="16"/>
                    </w:rPr>
                    <w:t>、</w:t>
                  </w:r>
                  <w:r>
                    <w:rPr>
                      <w:rFonts w:ascii="仿宋_GB2312" w:hAnsi="仿宋_GB2312" w:eastAsia="仿宋_GB2312" w:cs="宋体"/>
                      <w:color w:val="auto"/>
                      <w:sz w:val="20"/>
                      <w:szCs w:val="16"/>
                    </w:rPr>
                    <w:t>科研院所</w:t>
                  </w:r>
                </w:p>
              </w:tc>
              <w:tc>
                <w:tcPr>
                  <w:tcW w:w="1471" w:type="pct"/>
                  <w:shd w:val="clear" w:color="auto" w:fill="auto"/>
                  <w:tcMar>
                    <w:top w:w="72" w:type="dxa"/>
                    <w:left w:w="144" w:type="dxa"/>
                    <w:bottom w:w="72" w:type="dxa"/>
                    <w:right w:w="144" w:type="dxa"/>
                  </w:tcMar>
                  <w:vAlign w:val="center"/>
                </w:tcPr>
                <w:p>
                  <w:pPr>
                    <w:pStyle w:val="9"/>
                    <w:adjustRightInd w:val="0"/>
                    <w:snapToGrid w:val="0"/>
                    <w:spacing w:line="360" w:lineRule="auto"/>
                    <w:ind w:firstLine="0" w:firstLineChars="0"/>
                    <w:jc w:val="center"/>
                    <w:rPr>
                      <w:rFonts w:ascii="仿宋_GB2312" w:hAnsi="仿宋_GB2312" w:eastAsia="仿宋_GB2312" w:cs="宋体"/>
                      <w:color w:val="auto"/>
                      <w:sz w:val="20"/>
                      <w:szCs w:val="16"/>
                    </w:rPr>
                  </w:pPr>
                  <w:r>
                    <w:rPr>
                      <w:rFonts w:ascii="仿宋_GB2312" w:hAnsi="仿宋_GB2312" w:eastAsia="仿宋_GB2312" w:cs="宋体"/>
                      <w:color w:val="auto"/>
                      <w:sz w:val="20"/>
                      <w:szCs w:val="16"/>
                    </w:rPr>
                    <w:t>大型创新创业峰会、论坛、研讨会</w:t>
                  </w:r>
                </w:p>
              </w:tc>
              <w:tc>
                <w:tcPr>
                  <w:tcW w:w="1063" w:type="pct"/>
                  <w:vMerge w:val="continue"/>
                  <w:shd w:val="clear" w:color="auto" w:fill="F2F2F2"/>
                  <w:tcMar>
                    <w:top w:w="72" w:type="dxa"/>
                    <w:left w:w="144" w:type="dxa"/>
                    <w:bottom w:w="72" w:type="dxa"/>
                    <w:right w:w="144" w:type="dxa"/>
                  </w:tcMar>
                  <w:vAlign w:val="center"/>
                </w:tcPr>
                <w:p>
                  <w:pPr>
                    <w:pStyle w:val="9"/>
                    <w:adjustRightInd w:val="0"/>
                    <w:snapToGrid w:val="0"/>
                    <w:spacing w:line="360" w:lineRule="auto"/>
                    <w:ind w:firstLine="0" w:firstLineChars="0"/>
                    <w:rPr>
                      <w:rFonts w:ascii="仿宋_GB2312" w:hAnsi="仿宋_GB2312" w:eastAsia="仿宋_GB2312" w:cs="宋体"/>
                      <w:color w:val="auto"/>
                      <w:sz w:val="20"/>
                      <w:szCs w:val="16"/>
                    </w:rPr>
                  </w:pPr>
                </w:p>
              </w:tc>
            </w:tr>
          </w:tbl>
          <w:p>
            <w:pPr>
              <w:pStyle w:val="9"/>
              <w:adjustRightInd w:val="0"/>
              <w:snapToGrid w:val="0"/>
              <w:spacing w:line="360" w:lineRule="auto"/>
              <w:ind w:firstLine="560"/>
              <w:rPr>
                <w:rFonts w:ascii="仿宋_GB2312" w:hAnsi="仿宋_GB2312" w:eastAsia="仿宋_GB2312" w:cs="宋体"/>
                <w:color w:val="auto"/>
                <w:sz w:val="28"/>
                <w:szCs w:val="22"/>
              </w:rPr>
            </w:pPr>
          </w:p>
        </w:tc>
      </w:tr>
    </w:tbl>
    <w:p>
      <w:pPr>
        <w:adjustRightInd w:val="0"/>
        <w:snapToGrid w:val="0"/>
        <w:spacing w:before="217" w:beforeLines="50" w:line="360" w:lineRule="auto"/>
        <w:ind w:firstLine="643"/>
        <w:outlineLvl w:val="2"/>
        <w:rPr>
          <w:rFonts w:ascii="楷体_GB2312" w:hAnsi="Times New Roman" w:eastAsia="楷体_GB2312" w:cs="Times New Roman"/>
          <w:b/>
          <w:color w:val="auto"/>
          <w:szCs w:val="32"/>
        </w:rPr>
      </w:pPr>
      <w:bookmarkStart w:id="265" w:name="_Toc69218808"/>
      <w:r>
        <w:rPr>
          <w:rFonts w:hint="eastAsia" w:ascii="楷体_GB2312" w:hAnsi="Times New Roman" w:eastAsia="楷体_GB2312" w:cs="Times New Roman"/>
          <w:b/>
          <w:color w:val="auto"/>
          <w:szCs w:val="32"/>
        </w:rPr>
        <w:t>2.</w:t>
      </w:r>
      <w:r>
        <w:rPr>
          <w:rFonts w:ascii="楷体_GB2312" w:hAnsi="Times New Roman" w:eastAsia="楷体_GB2312" w:cs="Times New Roman"/>
          <w:b/>
          <w:color w:val="auto"/>
          <w:szCs w:val="32"/>
        </w:rPr>
        <w:t xml:space="preserve"> </w:t>
      </w:r>
      <w:r>
        <w:rPr>
          <w:rFonts w:hint="eastAsia" w:ascii="楷体_GB2312" w:hAnsi="Times New Roman" w:eastAsia="楷体_GB2312" w:cs="Times New Roman"/>
          <w:b/>
          <w:color w:val="auto"/>
          <w:szCs w:val="32"/>
        </w:rPr>
        <w:t>大力弘扬创新创业精神</w:t>
      </w:r>
      <w:bookmarkEnd w:id="265"/>
    </w:p>
    <w:p>
      <w:pPr>
        <w:adjustRightInd w:val="0"/>
        <w:snapToGrid w:val="0"/>
        <w:spacing w:line="360" w:lineRule="auto"/>
        <w:ind w:firstLine="640"/>
        <w:rPr>
          <w:rFonts w:ascii="仿宋_GB2312" w:hAnsi="华文中宋" w:cs="Times New Roman"/>
          <w:color w:val="auto"/>
          <w:szCs w:val="32"/>
        </w:rPr>
      </w:pPr>
      <w:r>
        <w:rPr>
          <w:rFonts w:hint="eastAsia" w:ascii="仿宋_GB2312" w:hAnsi="Times New Roman" w:cs="Times New Roman"/>
          <w:color w:val="auto"/>
          <w:szCs w:val="32"/>
        </w:rPr>
        <w:t>倡导新时代科学家精神，坚定方向、久久为功，弘扬勇攀高峰、敢为人先的创新精神，</w:t>
      </w:r>
      <w:r>
        <w:rPr>
          <w:rFonts w:ascii="仿宋_GB2312" w:hAnsi="Times New Roman" w:cs="Times New Roman"/>
          <w:color w:val="auto"/>
          <w:szCs w:val="32"/>
        </w:rPr>
        <w:t>追求真理、严谨治学的求实精神，淡泊名利、潜心研究的奉献精神，集智攻关、团结协作的协同精神，甘为人梯、奖掖后学的育人精神</w:t>
      </w:r>
      <w:r>
        <w:rPr>
          <w:rFonts w:hint="eastAsia" w:ascii="仿宋_GB2312" w:hAnsi="Times New Roman" w:cs="Times New Roman"/>
          <w:color w:val="auto"/>
          <w:szCs w:val="32"/>
        </w:rPr>
        <w:t>。弘扬企业家精神，鼓励企业家做创新发展的探索者、组织者、引领者，勇于推动生产组织创新、技术创新、市场创新。弘扬工匠精神，支持企业开展“师带徒”结对活动，发扬“传、帮、带”精神。</w:t>
      </w:r>
      <w:r>
        <w:rPr>
          <w:rFonts w:hint="eastAsia" w:ascii="仿宋_GB2312" w:hAnsi="华文中宋" w:cs="Times New Roman"/>
          <w:color w:val="auto"/>
          <w:szCs w:val="32"/>
        </w:rPr>
        <w:t>强化创新创业文化宣传，利用“武汉经开区”“创新车谷”等微信公众号、主流媒体等信息传播渠道，加大对经开区创新发展的宣传力度，讲好创业故事、展示创新成果、宣传典型案例、推广成功经验。</w:t>
      </w:r>
    </w:p>
    <w:p>
      <w:pPr>
        <w:adjustRightInd w:val="0"/>
        <w:snapToGrid w:val="0"/>
        <w:spacing w:line="360" w:lineRule="auto"/>
        <w:ind w:firstLine="643"/>
        <w:outlineLvl w:val="2"/>
        <w:rPr>
          <w:rFonts w:ascii="楷体_GB2312" w:hAnsi="Times New Roman" w:eastAsia="楷体_GB2312" w:cs="Times New Roman"/>
          <w:b/>
          <w:color w:val="auto"/>
          <w:szCs w:val="32"/>
        </w:rPr>
      </w:pPr>
      <w:bookmarkStart w:id="266" w:name="_Toc69218809"/>
      <w:r>
        <w:rPr>
          <w:rFonts w:hint="eastAsia" w:ascii="楷体_GB2312" w:hAnsi="Times New Roman" w:eastAsia="楷体_GB2312" w:cs="Times New Roman"/>
          <w:b/>
          <w:color w:val="auto"/>
          <w:szCs w:val="32"/>
        </w:rPr>
        <w:t>3.</w:t>
      </w:r>
      <w:r>
        <w:rPr>
          <w:rFonts w:ascii="楷体_GB2312" w:hAnsi="Times New Roman" w:eastAsia="楷体_GB2312" w:cs="Times New Roman"/>
          <w:b/>
          <w:color w:val="auto"/>
          <w:szCs w:val="32"/>
        </w:rPr>
        <w:t xml:space="preserve"> </w:t>
      </w:r>
      <w:r>
        <w:rPr>
          <w:rFonts w:hint="eastAsia" w:ascii="楷体_GB2312" w:hAnsi="Times New Roman" w:eastAsia="楷体_GB2312" w:cs="Times New Roman"/>
          <w:b/>
          <w:color w:val="auto"/>
          <w:szCs w:val="32"/>
        </w:rPr>
        <w:t>强化科学技术知识普及</w:t>
      </w:r>
      <w:bookmarkEnd w:id="266"/>
    </w:p>
    <w:p>
      <w:pPr>
        <w:adjustRightInd w:val="0"/>
        <w:snapToGrid w:val="0"/>
        <w:spacing w:line="360" w:lineRule="auto"/>
        <w:ind w:firstLine="640"/>
        <w:rPr>
          <w:rFonts w:ascii="仿宋_GB2312" w:hAnsi="Times New Roman" w:cs="Times New Roman"/>
          <w:color w:val="auto"/>
          <w:szCs w:val="32"/>
        </w:rPr>
      </w:pPr>
      <w:r>
        <w:rPr>
          <w:rFonts w:hint="eastAsia" w:ascii="仿宋_GB2312" w:hAnsi="Times New Roman" w:cs="Times New Roman"/>
          <w:color w:val="auto"/>
          <w:szCs w:val="32"/>
        </w:rPr>
        <w:t>加强人工智能、A</w:t>
      </w:r>
      <w:r>
        <w:rPr>
          <w:rFonts w:ascii="仿宋_GB2312" w:hAnsi="Times New Roman" w:cs="Times New Roman"/>
          <w:color w:val="auto"/>
          <w:szCs w:val="32"/>
        </w:rPr>
        <w:t>R/VR</w:t>
      </w:r>
      <w:r>
        <w:rPr>
          <w:rFonts w:hint="eastAsia" w:ascii="仿宋_GB2312" w:hAnsi="Times New Roman" w:cs="Times New Roman"/>
          <w:color w:val="auto"/>
          <w:szCs w:val="32"/>
        </w:rPr>
        <w:t>、车联网等技术在科技场馆推广应用，建成一批集科普展览、学术交流等于一体的现代科技体验中心。依托汤湖公园、南太子湖创新谷图书馆、美术馆、博物馆等，建设掌上图书馆、美术馆、博物馆等文创载体，大力推广科学知识。在地铁、公园、江滩、广场等区域建设一批科普场景，促进社区科普和公共文化服务融合。充分发挥基层科协作用，丰富科学科普文化，持续推进网络科普知识竞答活动，举办科技活动周、科普日等活动，加强新成果、新技术、新装备、新产品展示。充分发挥电视、报纸、广播等传统媒体及短视频平台、社交平台等新媒体作用，拓展科学传播载体，提高传播速度和传播效果。</w:t>
      </w:r>
    </w:p>
    <w:p>
      <w:pPr>
        <w:ind w:firstLine="643"/>
        <w:rPr>
          <w:rFonts w:ascii="黑体" w:hAnsi="黑体" w:eastAsia="黑体" w:cs="Times New Roman"/>
          <w:b/>
          <w:color w:val="auto"/>
          <w:szCs w:val="32"/>
        </w:rPr>
      </w:pPr>
      <w:bookmarkStart w:id="267" w:name="_Toc28409"/>
      <w:bookmarkStart w:id="268" w:name="_Toc30590"/>
      <w:bookmarkStart w:id="269" w:name="_Toc19188"/>
      <w:r>
        <w:rPr>
          <w:rFonts w:hint="eastAsia" w:ascii="黑体" w:hAnsi="黑体" w:eastAsia="黑体" w:cs="Times New Roman"/>
          <w:b/>
          <w:color w:val="auto"/>
          <w:szCs w:val="32"/>
        </w:rPr>
        <w:br w:type="page"/>
      </w:r>
    </w:p>
    <w:p>
      <w:pPr>
        <w:autoSpaceDE w:val="0"/>
        <w:autoSpaceDN w:val="0"/>
        <w:adjustRightInd w:val="0"/>
        <w:snapToGrid w:val="0"/>
        <w:spacing w:line="360" w:lineRule="auto"/>
        <w:ind w:firstLine="643"/>
        <w:outlineLvl w:val="0"/>
        <w:rPr>
          <w:rFonts w:ascii="黑体" w:hAnsi="黑体" w:eastAsia="黑体" w:cs="Times New Roman"/>
          <w:b/>
          <w:color w:val="auto"/>
          <w:szCs w:val="32"/>
        </w:rPr>
      </w:pPr>
      <w:bookmarkStart w:id="270" w:name="_Toc30991"/>
      <w:r>
        <w:rPr>
          <w:rFonts w:hint="eastAsia" w:ascii="黑体" w:hAnsi="黑体" w:eastAsia="黑体" w:cs="Times New Roman"/>
          <w:b/>
          <w:color w:val="auto"/>
          <w:szCs w:val="32"/>
        </w:rPr>
        <w:t>九、保障措施</w:t>
      </w:r>
      <w:bookmarkEnd w:id="258"/>
      <w:bookmarkEnd w:id="259"/>
      <w:bookmarkEnd w:id="260"/>
      <w:bookmarkEnd w:id="267"/>
      <w:bookmarkEnd w:id="268"/>
      <w:bookmarkEnd w:id="269"/>
      <w:bookmarkEnd w:id="270"/>
    </w:p>
    <w:p>
      <w:pPr>
        <w:autoSpaceDE w:val="0"/>
        <w:autoSpaceDN w:val="0"/>
        <w:adjustRightInd w:val="0"/>
        <w:snapToGrid w:val="0"/>
        <w:spacing w:line="360" w:lineRule="auto"/>
        <w:ind w:firstLine="641"/>
        <w:outlineLvl w:val="1"/>
        <w:rPr>
          <w:rFonts w:ascii="华文中宋" w:hAnsi="华文中宋" w:eastAsia="华文中宋"/>
          <w:b/>
          <w:color w:val="auto"/>
          <w:szCs w:val="32"/>
        </w:rPr>
      </w:pPr>
      <w:bookmarkStart w:id="271" w:name="_Toc4174"/>
      <w:bookmarkStart w:id="272" w:name="_Toc54773048"/>
      <w:bookmarkStart w:id="273" w:name="_Toc14217"/>
      <w:bookmarkStart w:id="274" w:name="_Toc12325"/>
      <w:bookmarkStart w:id="275" w:name="_Toc18655"/>
      <w:bookmarkStart w:id="276" w:name="_Toc69218823"/>
      <w:bookmarkStart w:id="277" w:name="_Toc694"/>
      <w:bookmarkStart w:id="278" w:name="_Toc69218904"/>
      <w:bookmarkStart w:id="279" w:name="_Toc21110"/>
      <w:bookmarkStart w:id="280" w:name="_Toc16818"/>
      <w:bookmarkStart w:id="281" w:name="_Toc7426"/>
      <w:bookmarkStart w:id="282" w:name="_Toc23896"/>
      <w:bookmarkStart w:id="283" w:name="_Toc21604"/>
      <w:r>
        <w:rPr>
          <w:rFonts w:hint="eastAsia" w:ascii="华文中宋" w:hAnsi="华文中宋" w:eastAsia="华文中宋"/>
          <w:b/>
          <w:color w:val="auto"/>
          <w:szCs w:val="32"/>
        </w:rPr>
        <w:t>（一）加强党对科技工作的全面领导</w:t>
      </w:r>
      <w:bookmarkEnd w:id="271"/>
      <w:bookmarkEnd w:id="272"/>
      <w:bookmarkEnd w:id="273"/>
      <w:bookmarkEnd w:id="274"/>
      <w:bookmarkEnd w:id="275"/>
      <w:bookmarkEnd w:id="276"/>
      <w:bookmarkEnd w:id="277"/>
      <w:bookmarkEnd w:id="278"/>
      <w:bookmarkEnd w:id="279"/>
      <w:bookmarkEnd w:id="280"/>
      <w:bookmarkEnd w:id="281"/>
      <w:bookmarkEnd w:id="282"/>
      <w:bookmarkEnd w:id="283"/>
    </w:p>
    <w:p>
      <w:pPr>
        <w:adjustRightInd w:val="0"/>
        <w:snapToGrid w:val="0"/>
        <w:spacing w:line="360" w:lineRule="auto"/>
        <w:ind w:firstLine="640"/>
        <w:rPr>
          <w:rFonts w:ascii="仿宋_GB2312" w:hAnsi="Times New Roman" w:cs="Times New Roman"/>
          <w:color w:val="auto"/>
          <w:szCs w:val="32"/>
        </w:rPr>
      </w:pPr>
      <w:r>
        <w:rPr>
          <w:rFonts w:hint="eastAsia" w:ascii="仿宋_GB2312" w:hAnsi="Times New Roman" w:cs="Times New Roman"/>
          <w:color w:val="auto"/>
          <w:szCs w:val="32"/>
        </w:rPr>
        <w:t>建立健全党组织领导科技创新的工作机制，始终把创新放在发展全局的核心位置。不断提升科技战线党建水平，推进科技系统和科技人员增强“四个意识”，坚定“四个自信”，坚决做到“两个维护”，勇攀科技高峰，在科技创新工作实践中不断增强政治判断力、政治领悟力、政治执行力。强化科技部门力量配备，完善科技部门与各园区科技工作联络员制度，加强科技创新工作指导，健全园区、街道科技创新工作常态化推进机制。</w:t>
      </w:r>
    </w:p>
    <w:p>
      <w:pPr>
        <w:autoSpaceDE w:val="0"/>
        <w:autoSpaceDN w:val="0"/>
        <w:adjustRightInd w:val="0"/>
        <w:snapToGrid w:val="0"/>
        <w:spacing w:line="360" w:lineRule="auto"/>
        <w:ind w:firstLine="641"/>
        <w:outlineLvl w:val="1"/>
        <w:rPr>
          <w:rFonts w:ascii="华文中宋" w:hAnsi="华文中宋" w:eastAsia="华文中宋"/>
          <w:b/>
          <w:color w:val="auto"/>
          <w:szCs w:val="32"/>
        </w:rPr>
      </w:pPr>
      <w:bookmarkStart w:id="284" w:name="_Toc16870"/>
      <w:bookmarkStart w:id="285" w:name="_Toc22965"/>
      <w:bookmarkStart w:id="286" w:name="_Toc32198"/>
      <w:bookmarkStart w:id="287" w:name="_Toc18706"/>
      <w:bookmarkStart w:id="288" w:name="_Toc24207"/>
      <w:bookmarkStart w:id="289" w:name="_Toc17196"/>
      <w:bookmarkStart w:id="290" w:name="_Toc69218905"/>
      <w:bookmarkStart w:id="291" w:name="_Toc7986"/>
      <w:bookmarkStart w:id="292" w:name="_Toc69218824"/>
      <w:bookmarkStart w:id="293" w:name="_Toc27532"/>
      <w:bookmarkStart w:id="294" w:name="_Toc5251"/>
      <w:bookmarkStart w:id="295" w:name="_Toc22323"/>
      <w:bookmarkStart w:id="296" w:name="_Toc54773049"/>
      <w:r>
        <w:rPr>
          <w:rFonts w:hint="eastAsia" w:ascii="华文中宋" w:hAnsi="华文中宋" w:eastAsia="华文中宋"/>
          <w:b/>
          <w:color w:val="auto"/>
          <w:szCs w:val="32"/>
        </w:rPr>
        <w:t>（二）完善科技</w:t>
      </w:r>
      <w:r>
        <w:rPr>
          <w:rFonts w:ascii="华文中宋" w:hAnsi="华文中宋" w:eastAsia="华文中宋"/>
          <w:b/>
          <w:color w:val="auto"/>
          <w:szCs w:val="32"/>
        </w:rPr>
        <w:t>政策支持体系</w:t>
      </w:r>
      <w:bookmarkEnd w:id="284"/>
      <w:bookmarkEnd w:id="285"/>
      <w:bookmarkEnd w:id="286"/>
      <w:bookmarkEnd w:id="287"/>
      <w:bookmarkEnd w:id="288"/>
      <w:bookmarkEnd w:id="289"/>
      <w:bookmarkEnd w:id="290"/>
      <w:bookmarkEnd w:id="291"/>
      <w:bookmarkEnd w:id="292"/>
      <w:bookmarkEnd w:id="293"/>
      <w:bookmarkEnd w:id="294"/>
      <w:bookmarkEnd w:id="295"/>
    </w:p>
    <w:p>
      <w:pPr>
        <w:adjustRightInd w:val="0"/>
        <w:snapToGrid w:val="0"/>
        <w:spacing w:line="360" w:lineRule="auto"/>
        <w:ind w:firstLine="640"/>
        <w:rPr>
          <w:rFonts w:ascii="仿宋_GB2312" w:hAnsi="Times New Roman" w:cs="Times New Roman"/>
          <w:color w:val="auto"/>
          <w:szCs w:val="32"/>
        </w:rPr>
      </w:pPr>
      <w:r>
        <w:rPr>
          <w:rFonts w:hint="eastAsia" w:ascii="仿宋_GB2312" w:hAnsi="Times New Roman" w:cs="Times New Roman"/>
          <w:color w:val="auto"/>
          <w:szCs w:val="32"/>
        </w:rPr>
        <w:t>积极争取省市支持，大力推进车谷产业创新大走廊建设。贯彻落实国家和省市科技创新政策。完善“车谷科创33条”</w:t>
      </w:r>
      <w:r>
        <w:rPr>
          <w:rFonts w:ascii="仿宋_GB2312" w:hAnsi="Times New Roman" w:cs="Times New Roman"/>
          <w:color w:val="auto"/>
          <w:szCs w:val="32"/>
        </w:rPr>
        <w:t>实施细则</w:t>
      </w:r>
      <w:r>
        <w:rPr>
          <w:rFonts w:hint="eastAsia" w:ascii="仿宋_GB2312" w:hAnsi="Times New Roman" w:cs="Times New Roman"/>
          <w:color w:val="auto"/>
          <w:szCs w:val="32"/>
        </w:rPr>
        <w:t>，加强政策宣贯解读，健全政策兑现机制，简化兑现流程。</w:t>
      </w:r>
      <w:r>
        <w:rPr>
          <w:rFonts w:ascii="仿宋_GB2312" w:hAnsi="Times New Roman" w:cs="Times New Roman"/>
          <w:color w:val="auto"/>
          <w:szCs w:val="32"/>
        </w:rPr>
        <w:t>建立</w:t>
      </w:r>
      <w:r>
        <w:rPr>
          <w:rFonts w:hint="eastAsia" w:ascii="仿宋_GB2312" w:hAnsi="Times New Roman" w:cs="Times New Roman"/>
          <w:color w:val="auto"/>
          <w:szCs w:val="32"/>
        </w:rPr>
        <w:t>政策</w:t>
      </w:r>
      <w:r>
        <w:rPr>
          <w:rFonts w:ascii="仿宋_GB2312" w:hAnsi="Times New Roman" w:cs="Times New Roman"/>
          <w:color w:val="auto"/>
          <w:szCs w:val="32"/>
        </w:rPr>
        <w:t>第三方评估和动态调整机制，持续跟踪政策出台及执行情况，</w:t>
      </w:r>
      <w:r>
        <w:rPr>
          <w:rFonts w:hint="eastAsia" w:ascii="仿宋_GB2312" w:hAnsi="Times New Roman" w:cs="Times New Roman"/>
          <w:color w:val="auto"/>
          <w:szCs w:val="32"/>
        </w:rPr>
        <w:t>不断升级和完善科技创新政策体系。</w:t>
      </w:r>
    </w:p>
    <w:p>
      <w:pPr>
        <w:autoSpaceDE w:val="0"/>
        <w:autoSpaceDN w:val="0"/>
        <w:adjustRightInd w:val="0"/>
        <w:snapToGrid w:val="0"/>
        <w:spacing w:line="360" w:lineRule="auto"/>
        <w:ind w:firstLine="641"/>
        <w:outlineLvl w:val="1"/>
        <w:rPr>
          <w:rFonts w:ascii="华文中宋" w:hAnsi="华文中宋" w:eastAsia="华文中宋"/>
          <w:b/>
          <w:color w:val="auto"/>
          <w:szCs w:val="32"/>
        </w:rPr>
      </w:pPr>
      <w:bookmarkStart w:id="297" w:name="_Toc20958"/>
      <w:bookmarkStart w:id="298" w:name="_Toc26721"/>
      <w:bookmarkStart w:id="299" w:name="_Toc4089"/>
      <w:bookmarkStart w:id="300" w:name="_Toc69218825"/>
      <w:bookmarkStart w:id="301" w:name="_Toc22780"/>
      <w:bookmarkStart w:id="302" w:name="_Toc69218906"/>
      <w:bookmarkStart w:id="303" w:name="_Toc1551"/>
      <w:bookmarkStart w:id="304" w:name="_Toc6894"/>
      <w:bookmarkStart w:id="305" w:name="_Toc28753"/>
      <w:bookmarkStart w:id="306" w:name="_Toc10300"/>
      <w:bookmarkStart w:id="307" w:name="_Toc9580"/>
      <w:bookmarkStart w:id="308" w:name="_Toc27214"/>
      <w:r>
        <w:rPr>
          <w:rFonts w:hint="eastAsia" w:ascii="华文中宋" w:hAnsi="华文中宋" w:eastAsia="华文中宋"/>
          <w:b/>
          <w:color w:val="auto"/>
          <w:szCs w:val="32"/>
        </w:rPr>
        <w:t>（三）</w:t>
      </w:r>
      <w:bookmarkEnd w:id="296"/>
      <w:r>
        <w:rPr>
          <w:rFonts w:hint="eastAsia" w:ascii="华文中宋" w:hAnsi="华文中宋" w:eastAsia="华文中宋"/>
          <w:b/>
          <w:color w:val="auto"/>
          <w:szCs w:val="32"/>
        </w:rPr>
        <w:t>提高科技创新投入水平</w:t>
      </w:r>
      <w:bookmarkEnd w:id="297"/>
      <w:bookmarkEnd w:id="298"/>
      <w:bookmarkEnd w:id="299"/>
      <w:bookmarkEnd w:id="300"/>
      <w:bookmarkEnd w:id="301"/>
      <w:bookmarkEnd w:id="302"/>
      <w:bookmarkEnd w:id="303"/>
      <w:bookmarkEnd w:id="304"/>
      <w:bookmarkEnd w:id="305"/>
      <w:bookmarkEnd w:id="306"/>
      <w:bookmarkEnd w:id="307"/>
      <w:bookmarkEnd w:id="308"/>
    </w:p>
    <w:p>
      <w:pPr>
        <w:adjustRightInd w:val="0"/>
        <w:snapToGrid w:val="0"/>
        <w:spacing w:line="360" w:lineRule="auto"/>
        <w:ind w:firstLine="640"/>
        <w:rPr>
          <w:rFonts w:ascii="仿宋_GB2312" w:hAnsi="Times New Roman" w:cs="Times New Roman"/>
          <w:color w:val="auto"/>
          <w:szCs w:val="32"/>
        </w:rPr>
      </w:pPr>
      <w:bookmarkStart w:id="309" w:name="_Toc54773050"/>
      <w:r>
        <w:rPr>
          <w:rFonts w:hint="eastAsia" w:ascii="仿宋_GB2312" w:hAnsi="Times New Roman" w:cs="Times New Roman"/>
          <w:color w:val="auto"/>
          <w:szCs w:val="32"/>
        </w:rPr>
        <w:t>持续增加和优化财政科技投入，建立稳定的科技投入增长机制和追加机制。</w:t>
      </w:r>
      <w:bookmarkEnd w:id="309"/>
      <w:bookmarkStart w:id="310" w:name="_Toc54773051"/>
      <w:r>
        <w:rPr>
          <w:rFonts w:hint="eastAsia" w:ascii="仿宋_GB2312" w:hAnsi="Times New Roman" w:cs="Times New Roman"/>
          <w:color w:val="auto"/>
          <w:szCs w:val="32"/>
        </w:rPr>
        <w:t>充分发挥政府引导作用和市场决定性作用，建立财政资金、金融资本、社会资本等多元化科技创新投入体系。</w:t>
      </w:r>
      <w:bookmarkEnd w:id="310"/>
      <w:r>
        <w:rPr>
          <w:rFonts w:hint="eastAsia" w:ascii="仿宋_GB2312" w:hAnsi="Times New Roman" w:cs="Times New Roman"/>
          <w:color w:val="auto"/>
          <w:szCs w:val="32"/>
        </w:rPr>
        <w:t>争取国家、省市等各级各类科技专项资金支持，集中财力对区内重大项目、重大技术攻关难题、科技成果转化等给予重点支持。</w:t>
      </w:r>
    </w:p>
    <w:p>
      <w:pPr>
        <w:autoSpaceDE w:val="0"/>
        <w:autoSpaceDN w:val="0"/>
        <w:adjustRightInd w:val="0"/>
        <w:snapToGrid w:val="0"/>
        <w:spacing w:line="360" w:lineRule="auto"/>
        <w:ind w:firstLine="641"/>
        <w:outlineLvl w:val="1"/>
        <w:rPr>
          <w:rFonts w:ascii="华文中宋" w:hAnsi="华文中宋" w:eastAsia="华文中宋"/>
          <w:b/>
          <w:color w:val="auto"/>
          <w:szCs w:val="32"/>
        </w:rPr>
      </w:pPr>
      <w:bookmarkStart w:id="311" w:name="_Toc24238"/>
      <w:bookmarkStart w:id="312" w:name="_Toc4099"/>
      <w:bookmarkStart w:id="313" w:name="_Toc16048"/>
      <w:bookmarkStart w:id="314" w:name="_Toc15512"/>
      <w:bookmarkStart w:id="315" w:name="_Toc3313"/>
      <w:bookmarkStart w:id="316" w:name="_Toc9492"/>
      <w:bookmarkStart w:id="317" w:name="_Toc4249"/>
      <w:bookmarkStart w:id="318" w:name="_Toc19191"/>
      <w:bookmarkStart w:id="319" w:name="_Toc9789"/>
      <w:bookmarkStart w:id="320" w:name="_Toc23331"/>
      <w:r>
        <w:rPr>
          <w:rFonts w:hint="eastAsia" w:ascii="华文中宋" w:hAnsi="华文中宋" w:eastAsia="华文中宋"/>
          <w:b/>
          <w:color w:val="auto"/>
          <w:szCs w:val="32"/>
        </w:rPr>
        <w:t>（四）强化创新发展空间支撑</w:t>
      </w:r>
      <w:bookmarkEnd w:id="311"/>
      <w:bookmarkEnd w:id="312"/>
      <w:bookmarkEnd w:id="313"/>
      <w:bookmarkEnd w:id="314"/>
      <w:bookmarkEnd w:id="315"/>
      <w:bookmarkEnd w:id="316"/>
      <w:bookmarkEnd w:id="317"/>
    </w:p>
    <w:p>
      <w:pPr>
        <w:adjustRightInd w:val="0"/>
        <w:snapToGrid w:val="0"/>
        <w:spacing w:line="360" w:lineRule="auto"/>
        <w:ind w:firstLine="640"/>
        <w:rPr>
          <w:rFonts w:ascii="仿宋_GB2312" w:hAnsi="Times New Roman" w:cs="Times New Roman"/>
          <w:color w:val="auto"/>
          <w:szCs w:val="32"/>
        </w:rPr>
      </w:pPr>
      <w:r>
        <w:rPr>
          <w:rFonts w:hint="eastAsia" w:ascii="仿宋_GB2312" w:hAnsi="Times New Roman" w:cs="Times New Roman"/>
          <w:color w:val="auto"/>
          <w:szCs w:val="32"/>
        </w:rPr>
        <w:t>加强存量空间挖掘，加快对老旧工业厂房、闲置低效用地等进行“腾笼换鸟”。深入探索M</w:t>
      </w:r>
      <w:r>
        <w:rPr>
          <w:rFonts w:ascii="仿宋_GB2312" w:hAnsi="Times New Roman" w:cs="Times New Roman"/>
          <w:color w:val="auto"/>
          <w:szCs w:val="32"/>
        </w:rPr>
        <w:t>0</w:t>
      </w:r>
      <w:r>
        <w:rPr>
          <w:rFonts w:hint="eastAsia" w:ascii="仿宋_GB2312" w:hAnsi="Times New Roman" w:cs="Times New Roman"/>
          <w:color w:val="auto"/>
          <w:szCs w:val="32"/>
        </w:rPr>
        <w:t>、M创等新型产业用地试点，提高用地精细化管理水平。针对不同项目实施差别化土地政策，允许采取长期租赁、先租后让、租让结合、弹性出让等方式供应。</w:t>
      </w:r>
    </w:p>
    <w:p>
      <w:pPr>
        <w:autoSpaceDE w:val="0"/>
        <w:autoSpaceDN w:val="0"/>
        <w:adjustRightInd w:val="0"/>
        <w:snapToGrid w:val="0"/>
        <w:spacing w:line="360" w:lineRule="auto"/>
        <w:ind w:firstLine="641"/>
        <w:outlineLvl w:val="1"/>
        <w:rPr>
          <w:rFonts w:ascii="华文中宋" w:hAnsi="华文中宋" w:eastAsia="华文中宋"/>
          <w:b/>
          <w:color w:val="auto"/>
          <w:szCs w:val="32"/>
        </w:rPr>
      </w:pPr>
      <w:bookmarkStart w:id="321" w:name="_Toc736"/>
      <w:bookmarkStart w:id="322" w:name="_Toc11623"/>
      <w:bookmarkStart w:id="323" w:name="_Toc18992"/>
      <w:bookmarkStart w:id="324" w:name="_Toc10323"/>
      <w:r>
        <w:rPr>
          <w:rFonts w:hint="eastAsia" w:ascii="华文中宋" w:hAnsi="华文中宋" w:eastAsia="华文中宋"/>
          <w:b/>
          <w:color w:val="auto"/>
          <w:szCs w:val="32"/>
        </w:rPr>
        <w:t>（五）强化规划</w:t>
      </w:r>
      <w:bookmarkEnd w:id="318"/>
      <w:bookmarkEnd w:id="319"/>
      <w:bookmarkEnd w:id="320"/>
      <w:r>
        <w:rPr>
          <w:rFonts w:hint="eastAsia" w:ascii="华文中宋" w:hAnsi="华文中宋" w:eastAsia="华文中宋"/>
          <w:b/>
          <w:color w:val="auto"/>
          <w:szCs w:val="32"/>
        </w:rPr>
        <w:t>实施考核评估</w:t>
      </w:r>
      <w:bookmarkEnd w:id="321"/>
      <w:bookmarkEnd w:id="322"/>
      <w:bookmarkEnd w:id="323"/>
      <w:bookmarkEnd w:id="324"/>
    </w:p>
    <w:p>
      <w:pPr>
        <w:adjustRightInd w:val="0"/>
        <w:snapToGrid w:val="0"/>
        <w:spacing w:line="360" w:lineRule="auto"/>
        <w:ind w:firstLine="640"/>
        <w:rPr>
          <w:rFonts w:ascii="仿宋_GB2312" w:hAnsi="Times New Roman" w:cs="Times New Roman"/>
          <w:color w:val="auto"/>
          <w:szCs w:val="32"/>
        </w:rPr>
      </w:pPr>
      <w:r>
        <w:rPr>
          <w:rFonts w:hint="eastAsia" w:ascii="仿宋_GB2312" w:hAnsi="Times New Roman" w:cs="Times New Roman"/>
          <w:color w:val="auto"/>
          <w:szCs w:val="32"/>
        </w:rPr>
        <w:t>完善科技创新评价机制和考核办法，将科技创新相关指标纳入全区和各园区绩效考核体系，充分调动各园区参与科技创新的积极性和主动性。建立健全规划定期监测评估和动态调整机制，做好规划实施中期和期末评估等工作，将监测和评估结果作为改进政府科技创新管理工作的重要依据。主动公开科技工作进展情况，发挥公众、新闻媒体、行业协会等群体对科技创新工作的监督作用。</w:t>
      </w:r>
    </w:p>
    <w:sectPr>
      <w:headerReference r:id="rId14" w:type="default"/>
      <w:footerReference r:id="rId15" w:type="default"/>
      <w:pgSz w:w="11906" w:h="16838"/>
      <w:pgMar w:top="1440" w:right="1800" w:bottom="1440" w:left="1800" w:header="851" w:footer="992" w:gutter="0"/>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华文中宋">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方正书宋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firstLine="360"/>
      <w:jc w:val="center"/>
      <w:rPr>
        <w:rFonts w:ascii="Times New Roman" w:hAnsi="Times New Roman" w:cs="Times New Roman"/>
        <w:sz w:val="18"/>
        <w:szCs w:val="18"/>
      </w:rPr>
    </w:pPr>
  </w:p>
  <w:p>
    <w:pPr>
      <w:tabs>
        <w:tab w:val="center" w:pos="4153"/>
        <w:tab w:val="right" w:pos="8306"/>
      </w:tabs>
      <w:snapToGrid w:val="0"/>
      <w:ind w:firstLine="360"/>
      <w:jc w:val="left"/>
      <w:rPr>
        <w:rFonts w:ascii="Times New Roman" w:hAnsi="Times New Roman" w:cs="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5"/>
      </w:rPr>
      <w:id w:val="1553963570"/>
    </w:sdtPr>
    <w:sdtEndPr>
      <w:rPr>
        <w:rStyle w:val="25"/>
      </w:rPr>
    </w:sdtEndPr>
    <w:sdtContent>
      <w:p>
        <w:pPr>
          <w:pStyle w:val="13"/>
          <w:framePr w:wrap="around" w:vAnchor="text" w:hAnchor="margin" w:xAlign="center" w:y="1"/>
          <w:ind w:firstLine="360"/>
          <w:rPr>
            <w:rStyle w:val="25"/>
          </w:rPr>
        </w:pPr>
        <w:r>
          <w:rPr>
            <w:rStyle w:val="25"/>
          </w:rPr>
          <w:fldChar w:fldCharType="begin"/>
        </w:r>
        <w:r>
          <w:rPr>
            <w:rStyle w:val="25"/>
          </w:rPr>
          <w:instrText xml:space="preserve"> PAGE </w:instrText>
        </w:r>
        <w:r>
          <w:rPr>
            <w:rStyle w:val="25"/>
          </w:rPr>
          <w:fldChar w:fldCharType="end"/>
        </w:r>
      </w:p>
    </w:sdtContent>
  </w:sdt>
  <w:p>
    <w:pPr>
      <w:tabs>
        <w:tab w:val="center" w:pos="4153"/>
        <w:tab w:val="right" w:pos="8306"/>
      </w:tabs>
      <w:snapToGrid w:val="0"/>
      <w:ind w:firstLine="360"/>
      <w:jc w:val="left"/>
      <w:rPr>
        <w:rFonts w:ascii="Times New Roman" w:hAnsi="Times New Roman" w:cs="Times New Roman"/>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firstLine="360"/>
      <w:jc w:val="left"/>
      <w:rPr>
        <w:rFonts w:ascii="Times New Roman" w:hAnsi="Times New Roman" w:cs="Times New Roman"/>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firstLine="0" w:firstLineChars="0"/>
      <w:jc w:val="center"/>
      <w:rPr>
        <w:rFonts w:ascii="Times New Roman" w:hAnsi="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3"/>
                      <w:ind w:firstLine="360"/>
                    </w:pPr>
                    <w:r>
                      <w:fldChar w:fldCharType="begin"/>
                    </w:r>
                    <w:r>
                      <w:instrText xml:space="preserve"> PAGE  \* MERGEFORMAT </w:instrText>
                    </w:r>
                    <w:r>
                      <w:fldChar w:fldCharType="separate"/>
                    </w:r>
                    <w:r>
                      <w:t>1</w:t>
                    </w:r>
                    <w:r>
                      <w:fldChar w:fldCharType="end"/>
                    </w:r>
                  </w:p>
                </w:txbxContent>
              </v:textbox>
            </v:shape>
          </w:pict>
        </mc:Fallback>
      </mc:AlternateContent>
    </w:r>
  </w:p>
  <w:p>
    <w:pPr>
      <w:tabs>
        <w:tab w:val="right" w:pos="8306"/>
      </w:tabs>
      <w:snapToGrid w:val="0"/>
      <w:ind w:firstLine="360"/>
      <w:jc w:val="center"/>
      <w:rPr>
        <w:rFonts w:ascii="Times New Roman" w:hAnsi="Times New Roman" w:cs="Times New Roman"/>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5293268"/>
    </w:sdtPr>
    <w:sdtContent>
      <w:p>
        <w:pPr>
          <w:pStyle w:val="13"/>
          <w:ind w:firstLine="360"/>
          <w:jc w:val="center"/>
        </w:pPr>
        <w:r>
          <w:fldChar w:fldCharType="begin"/>
        </w:r>
        <w:r>
          <w:instrText xml:space="preserve">PAGE   \* MERGEFORMAT</w:instrText>
        </w:r>
        <w:r>
          <w:fldChar w:fldCharType="separate"/>
        </w:r>
        <w:r>
          <w:rPr>
            <w:lang w:val="zh-CN"/>
          </w:rPr>
          <w:t>2</w:t>
        </w:r>
        <w:r>
          <w:fldChar w:fldCharType="end"/>
        </w:r>
      </w:p>
    </w:sdtContent>
  </w:sdt>
  <w:p>
    <w:pPr>
      <w:pStyle w:val="13"/>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7754224"/>
    </w:sdtPr>
    <w:sdtContent>
      <w:p>
        <w:pPr>
          <w:pStyle w:val="13"/>
          <w:ind w:firstLine="360"/>
          <w:jc w:val="center"/>
        </w:pPr>
        <w:r>
          <w:fldChar w:fldCharType="begin"/>
        </w:r>
        <w:r>
          <w:instrText xml:space="preserve">PAGE   \* MERGEFORMAT</w:instrText>
        </w:r>
        <w:r>
          <w:fldChar w:fldCharType="separate"/>
        </w:r>
        <w:r>
          <w:rPr>
            <w:lang w:val="zh-CN"/>
          </w:rPr>
          <w:t>2</w:t>
        </w:r>
        <w:r>
          <w:fldChar w:fldCharType="end"/>
        </w:r>
      </w:p>
    </w:sdtContent>
  </w:sdt>
  <w:p>
    <w:pPr>
      <w:tabs>
        <w:tab w:val="center" w:pos="4153"/>
        <w:tab w:val="right" w:pos="8306"/>
      </w:tabs>
      <w:snapToGrid w:val="0"/>
      <w:ind w:firstLine="360"/>
      <w:jc w:val="left"/>
      <w:rPr>
        <w:rFonts w:ascii="Times New Roman" w:hAnsi="Times New Roman" w:cs="Times New Roman"/>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ind w:firstLine="640"/>
      </w:pPr>
      <w:r>
        <w:separator/>
      </w:r>
    </w:p>
  </w:footnote>
  <w:footnote w:type="continuationSeparator" w:id="3">
    <w:p>
      <w:pPr>
        <w:ind w:firstLine="640"/>
      </w:pPr>
      <w:r>
        <w:continuationSeparator/>
      </w:r>
    </w:p>
  </w:footnote>
  <w:footnote w:id="0">
    <w:p>
      <w:pPr>
        <w:pStyle w:val="16"/>
        <w:ind w:firstLine="360"/>
      </w:pPr>
      <w:r>
        <w:rPr>
          <w:rStyle w:val="34"/>
        </w:rPr>
        <w:footnoteRef/>
      </w:r>
      <w:r>
        <w:t xml:space="preserve"> </w:t>
      </w:r>
      <w:r>
        <w:rPr>
          <w:rFonts w:hint="eastAsia"/>
        </w:rPr>
        <w:t>不含企校联合创新中心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ind w:firstLine="360"/>
      <w:jc w:val="center"/>
      <w:rPr>
        <w:rFonts w:ascii="Times New Roman" w:hAnsi="Times New Roman" w:cs="Times New Roman"/>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ind w:firstLine="360"/>
      <w:jc w:val="center"/>
      <w:rPr>
        <w:rFonts w:ascii="Times New Roman" w:hAnsi="Times New Roman" w:cs="Times New Roman"/>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EFDCFC7"/>
    <w:multiLevelType w:val="singleLevel"/>
    <w:tmpl w:val="4EFDCFC7"/>
    <w:lvl w:ilvl="0" w:tentative="0">
      <w:start w:val="1"/>
      <w:numFmt w:val="decimal"/>
      <w:suff w:val="nothing"/>
      <w:lvlText w:val="%1."/>
      <w:lvlJc w:val="left"/>
      <w:pPr>
        <w:ind w:left="454" w:hanging="45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HorizontalSpacing w:val="160"/>
  <w:drawingGridVerticalSpacing w:val="435"/>
  <w:displayHorizontalDrawingGridEvery w:val="2"/>
  <w:noPunctuationKerning w:val="1"/>
  <w:characterSpacingControl w:val="compressPunctuation"/>
  <w:footnotePr>
    <w:footnote w:id="2"/>
    <w:footnote w:id="3"/>
  </w:footnotePr>
  <w:endnotePr>
    <w:endnote w:id="0"/>
    <w:endnote w:id="1"/>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UxZWVlMGM5OGRlYzY2MWE3MDRlMmE4NWUyNjk1ZTMifQ=="/>
  </w:docVars>
  <w:rsids>
    <w:rsidRoot w:val="45C22433"/>
    <w:rsid w:val="00001A9C"/>
    <w:rsid w:val="000109E7"/>
    <w:rsid w:val="00013625"/>
    <w:rsid w:val="00021C4F"/>
    <w:rsid w:val="000239F2"/>
    <w:rsid w:val="000253C7"/>
    <w:rsid w:val="000301BA"/>
    <w:rsid w:val="000350D3"/>
    <w:rsid w:val="0003705C"/>
    <w:rsid w:val="000408BC"/>
    <w:rsid w:val="00040F37"/>
    <w:rsid w:val="00045B4A"/>
    <w:rsid w:val="00053CF6"/>
    <w:rsid w:val="000644A3"/>
    <w:rsid w:val="000656EF"/>
    <w:rsid w:val="000664AE"/>
    <w:rsid w:val="00091D33"/>
    <w:rsid w:val="0009613E"/>
    <w:rsid w:val="000A2FD4"/>
    <w:rsid w:val="000A3D8A"/>
    <w:rsid w:val="000A7A0B"/>
    <w:rsid w:val="000C0946"/>
    <w:rsid w:val="000C09E3"/>
    <w:rsid w:val="000C4742"/>
    <w:rsid w:val="000C4E23"/>
    <w:rsid w:val="000C5EF2"/>
    <w:rsid w:val="000D7555"/>
    <w:rsid w:val="000E71E9"/>
    <w:rsid w:val="00107D56"/>
    <w:rsid w:val="00117CA9"/>
    <w:rsid w:val="00120FD8"/>
    <w:rsid w:val="001315D9"/>
    <w:rsid w:val="001320D5"/>
    <w:rsid w:val="00134908"/>
    <w:rsid w:val="00134D71"/>
    <w:rsid w:val="00137BD8"/>
    <w:rsid w:val="00143976"/>
    <w:rsid w:val="00154BD9"/>
    <w:rsid w:val="00156404"/>
    <w:rsid w:val="0016013E"/>
    <w:rsid w:val="00162D3B"/>
    <w:rsid w:val="001676EA"/>
    <w:rsid w:val="00170112"/>
    <w:rsid w:val="00172D7D"/>
    <w:rsid w:val="00180BC8"/>
    <w:rsid w:val="00184544"/>
    <w:rsid w:val="0018622C"/>
    <w:rsid w:val="001900E7"/>
    <w:rsid w:val="00195B66"/>
    <w:rsid w:val="00196008"/>
    <w:rsid w:val="001C3305"/>
    <w:rsid w:val="001D39E5"/>
    <w:rsid w:val="001D7D72"/>
    <w:rsid w:val="001F751F"/>
    <w:rsid w:val="001F7DFB"/>
    <w:rsid w:val="00206479"/>
    <w:rsid w:val="00212D05"/>
    <w:rsid w:val="002145D7"/>
    <w:rsid w:val="002173BB"/>
    <w:rsid w:val="002304FE"/>
    <w:rsid w:val="00232466"/>
    <w:rsid w:val="002347DA"/>
    <w:rsid w:val="00234C26"/>
    <w:rsid w:val="002360C6"/>
    <w:rsid w:val="002400BF"/>
    <w:rsid w:val="002513CD"/>
    <w:rsid w:val="00260CF2"/>
    <w:rsid w:val="00260D13"/>
    <w:rsid w:val="00264A50"/>
    <w:rsid w:val="00267E43"/>
    <w:rsid w:val="00267F70"/>
    <w:rsid w:val="00277E5E"/>
    <w:rsid w:val="00284FDC"/>
    <w:rsid w:val="002872DD"/>
    <w:rsid w:val="0029003B"/>
    <w:rsid w:val="00294CB3"/>
    <w:rsid w:val="002A69F8"/>
    <w:rsid w:val="002B3F99"/>
    <w:rsid w:val="002B5824"/>
    <w:rsid w:val="002E1C9B"/>
    <w:rsid w:val="002E32E4"/>
    <w:rsid w:val="002E6477"/>
    <w:rsid w:val="002F796E"/>
    <w:rsid w:val="0030681A"/>
    <w:rsid w:val="00314B7A"/>
    <w:rsid w:val="003255AB"/>
    <w:rsid w:val="00325F30"/>
    <w:rsid w:val="003356D6"/>
    <w:rsid w:val="003437CB"/>
    <w:rsid w:val="003526A3"/>
    <w:rsid w:val="00360467"/>
    <w:rsid w:val="003606D3"/>
    <w:rsid w:val="00360C56"/>
    <w:rsid w:val="00370806"/>
    <w:rsid w:val="003744C4"/>
    <w:rsid w:val="0037791E"/>
    <w:rsid w:val="003801A0"/>
    <w:rsid w:val="003807F5"/>
    <w:rsid w:val="00380BB3"/>
    <w:rsid w:val="003841A1"/>
    <w:rsid w:val="00385080"/>
    <w:rsid w:val="003864A5"/>
    <w:rsid w:val="003A1FA4"/>
    <w:rsid w:val="003A6411"/>
    <w:rsid w:val="003B4179"/>
    <w:rsid w:val="003C006B"/>
    <w:rsid w:val="003D02AC"/>
    <w:rsid w:val="003D7FB7"/>
    <w:rsid w:val="003E5BCF"/>
    <w:rsid w:val="003F572E"/>
    <w:rsid w:val="004024C9"/>
    <w:rsid w:val="0040535A"/>
    <w:rsid w:val="00405612"/>
    <w:rsid w:val="004061F9"/>
    <w:rsid w:val="00411F97"/>
    <w:rsid w:val="004126A9"/>
    <w:rsid w:val="00414FF7"/>
    <w:rsid w:val="0041522D"/>
    <w:rsid w:val="00415EF9"/>
    <w:rsid w:val="004239A9"/>
    <w:rsid w:val="004264EC"/>
    <w:rsid w:val="00432450"/>
    <w:rsid w:val="00434B99"/>
    <w:rsid w:val="00440707"/>
    <w:rsid w:val="004441EA"/>
    <w:rsid w:val="00451CA5"/>
    <w:rsid w:val="004601F3"/>
    <w:rsid w:val="004641CF"/>
    <w:rsid w:val="00472D0D"/>
    <w:rsid w:val="00476560"/>
    <w:rsid w:val="004765DB"/>
    <w:rsid w:val="0049482C"/>
    <w:rsid w:val="00495C29"/>
    <w:rsid w:val="00496492"/>
    <w:rsid w:val="004A0492"/>
    <w:rsid w:val="004A3E3A"/>
    <w:rsid w:val="004A45FB"/>
    <w:rsid w:val="004A6056"/>
    <w:rsid w:val="004B25A5"/>
    <w:rsid w:val="004B7380"/>
    <w:rsid w:val="004C1F16"/>
    <w:rsid w:val="004C3762"/>
    <w:rsid w:val="004C5C0A"/>
    <w:rsid w:val="004D4FFE"/>
    <w:rsid w:val="004E2E63"/>
    <w:rsid w:val="004E5AEC"/>
    <w:rsid w:val="004F0C94"/>
    <w:rsid w:val="004F6C94"/>
    <w:rsid w:val="00502557"/>
    <w:rsid w:val="005036BD"/>
    <w:rsid w:val="005152AE"/>
    <w:rsid w:val="00516671"/>
    <w:rsid w:val="00521ED1"/>
    <w:rsid w:val="00532CE8"/>
    <w:rsid w:val="00535DCA"/>
    <w:rsid w:val="005416C8"/>
    <w:rsid w:val="0054721F"/>
    <w:rsid w:val="00550FC3"/>
    <w:rsid w:val="00553972"/>
    <w:rsid w:val="005539F0"/>
    <w:rsid w:val="00556F62"/>
    <w:rsid w:val="00560371"/>
    <w:rsid w:val="00563CAC"/>
    <w:rsid w:val="005646DA"/>
    <w:rsid w:val="005651CA"/>
    <w:rsid w:val="00565A04"/>
    <w:rsid w:val="00583666"/>
    <w:rsid w:val="005A45F8"/>
    <w:rsid w:val="005A5858"/>
    <w:rsid w:val="005A6B0A"/>
    <w:rsid w:val="005B0638"/>
    <w:rsid w:val="005B1FEB"/>
    <w:rsid w:val="005B26E1"/>
    <w:rsid w:val="005B3179"/>
    <w:rsid w:val="005B5EF9"/>
    <w:rsid w:val="005C009F"/>
    <w:rsid w:val="005C059C"/>
    <w:rsid w:val="005C2700"/>
    <w:rsid w:val="005D3671"/>
    <w:rsid w:val="005D42B1"/>
    <w:rsid w:val="005E588B"/>
    <w:rsid w:val="00606DCD"/>
    <w:rsid w:val="00625047"/>
    <w:rsid w:val="00634B28"/>
    <w:rsid w:val="0064260B"/>
    <w:rsid w:val="00644D29"/>
    <w:rsid w:val="006468AA"/>
    <w:rsid w:val="00651811"/>
    <w:rsid w:val="00652BFB"/>
    <w:rsid w:val="00670AB4"/>
    <w:rsid w:val="006770EB"/>
    <w:rsid w:val="006772EB"/>
    <w:rsid w:val="00682E7B"/>
    <w:rsid w:val="00685AD3"/>
    <w:rsid w:val="00696873"/>
    <w:rsid w:val="006A159A"/>
    <w:rsid w:val="006B3964"/>
    <w:rsid w:val="006C29DD"/>
    <w:rsid w:val="006C44F2"/>
    <w:rsid w:val="006C551D"/>
    <w:rsid w:val="006C622A"/>
    <w:rsid w:val="006D6855"/>
    <w:rsid w:val="006D737D"/>
    <w:rsid w:val="006E18F9"/>
    <w:rsid w:val="006F03FC"/>
    <w:rsid w:val="006F5B27"/>
    <w:rsid w:val="007021B9"/>
    <w:rsid w:val="007038EE"/>
    <w:rsid w:val="0070743F"/>
    <w:rsid w:val="007074C6"/>
    <w:rsid w:val="00714F5D"/>
    <w:rsid w:val="00715769"/>
    <w:rsid w:val="00720F0B"/>
    <w:rsid w:val="00723973"/>
    <w:rsid w:val="00731CAA"/>
    <w:rsid w:val="00734F9B"/>
    <w:rsid w:val="00740D3D"/>
    <w:rsid w:val="007419E9"/>
    <w:rsid w:val="00743239"/>
    <w:rsid w:val="00746109"/>
    <w:rsid w:val="007469B1"/>
    <w:rsid w:val="00746EF9"/>
    <w:rsid w:val="00747994"/>
    <w:rsid w:val="00762817"/>
    <w:rsid w:val="0079290D"/>
    <w:rsid w:val="007953F6"/>
    <w:rsid w:val="007975D6"/>
    <w:rsid w:val="00797C26"/>
    <w:rsid w:val="007A2B7F"/>
    <w:rsid w:val="007A38A1"/>
    <w:rsid w:val="007C2C19"/>
    <w:rsid w:val="007C4007"/>
    <w:rsid w:val="007C5430"/>
    <w:rsid w:val="007C67B2"/>
    <w:rsid w:val="007D05EC"/>
    <w:rsid w:val="007E16F2"/>
    <w:rsid w:val="007E1E15"/>
    <w:rsid w:val="007F41C0"/>
    <w:rsid w:val="00801890"/>
    <w:rsid w:val="00801B97"/>
    <w:rsid w:val="00802D1B"/>
    <w:rsid w:val="00814D04"/>
    <w:rsid w:val="00832195"/>
    <w:rsid w:val="00840189"/>
    <w:rsid w:val="00842E18"/>
    <w:rsid w:val="008517E6"/>
    <w:rsid w:val="00856DE9"/>
    <w:rsid w:val="008648F6"/>
    <w:rsid w:val="00872549"/>
    <w:rsid w:val="008779D1"/>
    <w:rsid w:val="00883868"/>
    <w:rsid w:val="008858D2"/>
    <w:rsid w:val="00887F5E"/>
    <w:rsid w:val="008A0795"/>
    <w:rsid w:val="008A0D68"/>
    <w:rsid w:val="008B02C6"/>
    <w:rsid w:val="008B0B19"/>
    <w:rsid w:val="008B18FE"/>
    <w:rsid w:val="008B539C"/>
    <w:rsid w:val="008C084C"/>
    <w:rsid w:val="008C6C7C"/>
    <w:rsid w:val="008D44B2"/>
    <w:rsid w:val="008D4634"/>
    <w:rsid w:val="008D7C56"/>
    <w:rsid w:val="008D7EEE"/>
    <w:rsid w:val="008E615F"/>
    <w:rsid w:val="008E7700"/>
    <w:rsid w:val="008F3E4D"/>
    <w:rsid w:val="0090765F"/>
    <w:rsid w:val="0092460C"/>
    <w:rsid w:val="00927BAE"/>
    <w:rsid w:val="00937581"/>
    <w:rsid w:val="00951613"/>
    <w:rsid w:val="009558A3"/>
    <w:rsid w:val="00960164"/>
    <w:rsid w:val="009623BA"/>
    <w:rsid w:val="00967088"/>
    <w:rsid w:val="00980379"/>
    <w:rsid w:val="00982D4D"/>
    <w:rsid w:val="00986319"/>
    <w:rsid w:val="009873B5"/>
    <w:rsid w:val="009A3A4A"/>
    <w:rsid w:val="009A4680"/>
    <w:rsid w:val="009A7D15"/>
    <w:rsid w:val="009C59D6"/>
    <w:rsid w:val="009D3860"/>
    <w:rsid w:val="009D7A38"/>
    <w:rsid w:val="009E31C4"/>
    <w:rsid w:val="009F7EFC"/>
    <w:rsid w:val="00A012BC"/>
    <w:rsid w:val="00A067F6"/>
    <w:rsid w:val="00A07559"/>
    <w:rsid w:val="00A12773"/>
    <w:rsid w:val="00A24629"/>
    <w:rsid w:val="00A27D02"/>
    <w:rsid w:val="00A40344"/>
    <w:rsid w:val="00A42FB3"/>
    <w:rsid w:val="00A47C7D"/>
    <w:rsid w:val="00A50309"/>
    <w:rsid w:val="00A50F41"/>
    <w:rsid w:val="00A524F1"/>
    <w:rsid w:val="00A53539"/>
    <w:rsid w:val="00A83838"/>
    <w:rsid w:val="00A93226"/>
    <w:rsid w:val="00AA6C00"/>
    <w:rsid w:val="00AB1375"/>
    <w:rsid w:val="00AB2FB2"/>
    <w:rsid w:val="00AD05E8"/>
    <w:rsid w:val="00AF4104"/>
    <w:rsid w:val="00AF4824"/>
    <w:rsid w:val="00AF6579"/>
    <w:rsid w:val="00B0279F"/>
    <w:rsid w:val="00B132F5"/>
    <w:rsid w:val="00B15174"/>
    <w:rsid w:val="00B224AF"/>
    <w:rsid w:val="00B26FCD"/>
    <w:rsid w:val="00B27F2B"/>
    <w:rsid w:val="00B31EDA"/>
    <w:rsid w:val="00B35836"/>
    <w:rsid w:val="00B36A15"/>
    <w:rsid w:val="00B43E4D"/>
    <w:rsid w:val="00B45E35"/>
    <w:rsid w:val="00B575A6"/>
    <w:rsid w:val="00B63921"/>
    <w:rsid w:val="00B66FED"/>
    <w:rsid w:val="00B67E19"/>
    <w:rsid w:val="00B72FDE"/>
    <w:rsid w:val="00B731BD"/>
    <w:rsid w:val="00B742DF"/>
    <w:rsid w:val="00B755E9"/>
    <w:rsid w:val="00B8386A"/>
    <w:rsid w:val="00B912C4"/>
    <w:rsid w:val="00B9334E"/>
    <w:rsid w:val="00B94407"/>
    <w:rsid w:val="00BA3334"/>
    <w:rsid w:val="00BA7B36"/>
    <w:rsid w:val="00BC0172"/>
    <w:rsid w:val="00BD428F"/>
    <w:rsid w:val="00BE2111"/>
    <w:rsid w:val="00BF01BE"/>
    <w:rsid w:val="00BF28C4"/>
    <w:rsid w:val="00BF4197"/>
    <w:rsid w:val="00BF45AE"/>
    <w:rsid w:val="00BF45FC"/>
    <w:rsid w:val="00C05F0D"/>
    <w:rsid w:val="00C06A7B"/>
    <w:rsid w:val="00C15EEA"/>
    <w:rsid w:val="00C20DEF"/>
    <w:rsid w:val="00C22B75"/>
    <w:rsid w:val="00C23593"/>
    <w:rsid w:val="00C32558"/>
    <w:rsid w:val="00C4071E"/>
    <w:rsid w:val="00C41E46"/>
    <w:rsid w:val="00C430E7"/>
    <w:rsid w:val="00C46B7E"/>
    <w:rsid w:val="00C47BF2"/>
    <w:rsid w:val="00C5169F"/>
    <w:rsid w:val="00C52AAC"/>
    <w:rsid w:val="00C5347A"/>
    <w:rsid w:val="00C552E5"/>
    <w:rsid w:val="00C56BDC"/>
    <w:rsid w:val="00C718FC"/>
    <w:rsid w:val="00C76806"/>
    <w:rsid w:val="00C91E49"/>
    <w:rsid w:val="00C97B43"/>
    <w:rsid w:val="00CA216A"/>
    <w:rsid w:val="00CA5125"/>
    <w:rsid w:val="00CB43CF"/>
    <w:rsid w:val="00CB76CC"/>
    <w:rsid w:val="00CC18BA"/>
    <w:rsid w:val="00CC6AF3"/>
    <w:rsid w:val="00CD11DB"/>
    <w:rsid w:val="00CE42CC"/>
    <w:rsid w:val="00CE5C49"/>
    <w:rsid w:val="00CF34F5"/>
    <w:rsid w:val="00CF7725"/>
    <w:rsid w:val="00D0703B"/>
    <w:rsid w:val="00D113AB"/>
    <w:rsid w:val="00D15C76"/>
    <w:rsid w:val="00D23162"/>
    <w:rsid w:val="00D24543"/>
    <w:rsid w:val="00D24D59"/>
    <w:rsid w:val="00D32AB7"/>
    <w:rsid w:val="00D34F9F"/>
    <w:rsid w:val="00D40210"/>
    <w:rsid w:val="00D439F3"/>
    <w:rsid w:val="00D500CB"/>
    <w:rsid w:val="00D5571F"/>
    <w:rsid w:val="00D5659F"/>
    <w:rsid w:val="00D60B5E"/>
    <w:rsid w:val="00D61ECF"/>
    <w:rsid w:val="00D62BAD"/>
    <w:rsid w:val="00D638E5"/>
    <w:rsid w:val="00D6394B"/>
    <w:rsid w:val="00D668F4"/>
    <w:rsid w:val="00D6774E"/>
    <w:rsid w:val="00D7110E"/>
    <w:rsid w:val="00D71E7A"/>
    <w:rsid w:val="00D91AD2"/>
    <w:rsid w:val="00D967BE"/>
    <w:rsid w:val="00D971DC"/>
    <w:rsid w:val="00DA0505"/>
    <w:rsid w:val="00DA573D"/>
    <w:rsid w:val="00DA7F94"/>
    <w:rsid w:val="00DB0D82"/>
    <w:rsid w:val="00DB54E5"/>
    <w:rsid w:val="00DC3E6B"/>
    <w:rsid w:val="00DD1930"/>
    <w:rsid w:val="00DD25E4"/>
    <w:rsid w:val="00DE28BF"/>
    <w:rsid w:val="00DE4D4D"/>
    <w:rsid w:val="00DF09F7"/>
    <w:rsid w:val="00DF732B"/>
    <w:rsid w:val="00DF7941"/>
    <w:rsid w:val="00E0207C"/>
    <w:rsid w:val="00E1288A"/>
    <w:rsid w:val="00E25B04"/>
    <w:rsid w:val="00E531CD"/>
    <w:rsid w:val="00E62736"/>
    <w:rsid w:val="00E80756"/>
    <w:rsid w:val="00E92374"/>
    <w:rsid w:val="00E94352"/>
    <w:rsid w:val="00E9740C"/>
    <w:rsid w:val="00EA59A3"/>
    <w:rsid w:val="00EA69EB"/>
    <w:rsid w:val="00EB28EE"/>
    <w:rsid w:val="00EB35CB"/>
    <w:rsid w:val="00EC1AD1"/>
    <w:rsid w:val="00EC7005"/>
    <w:rsid w:val="00EC7DF5"/>
    <w:rsid w:val="00ED0AF0"/>
    <w:rsid w:val="00F1344C"/>
    <w:rsid w:val="00F218DB"/>
    <w:rsid w:val="00F22E97"/>
    <w:rsid w:val="00F23BDF"/>
    <w:rsid w:val="00F25906"/>
    <w:rsid w:val="00F259C4"/>
    <w:rsid w:val="00F26854"/>
    <w:rsid w:val="00F27650"/>
    <w:rsid w:val="00F300DA"/>
    <w:rsid w:val="00F3080B"/>
    <w:rsid w:val="00F30BD0"/>
    <w:rsid w:val="00F32A2A"/>
    <w:rsid w:val="00F378F3"/>
    <w:rsid w:val="00F41DEA"/>
    <w:rsid w:val="00F46568"/>
    <w:rsid w:val="00F510D0"/>
    <w:rsid w:val="00F5141B"/>
    <w:rsid w:val="00F53072"/>
    <w:rsid w:val="00F54188"/>
    <w:rsid w:val="00F631A1"/>
    <w:rsid w:val="00F64970"/>
    <w:rsid w:val="00F66C48"/>
    <w:rsid w:val="00F72D55"/>
    <w:rsid w:val="00F838F3"/>
    <w:rsid w:val="00F91969"/>
    <w:rsid w:val="00F95D93"/>
    <w:rsid w:val="00F96F34"/>
    <w:rsid w:val="00FA70B8"/>
    <w:rsid w:val="00FB195F"/>
    <w:rsid w:val="00FB2D2F"/>
    <w:rsid w:val="00FB68D5"/>
    <w:rsid w:val="00FB7227"/>
    <w:rsid w:val="00FB7BBA"/>
    <w:rsid w:val="00FC277F"/>
    <w:rsid w:val="00FC2930"/>
    <w:rsid w:val="00FD3918"/>
    <w:rsid w:val="00FD3CA2"/>
    <w:rsid w:val="00FE6481"/>
    <w:rsid w:val="0108739D"/>
    <w:rsid w:val="01175C36"/>
    <w:rsid w:val="018C229D"/>
    <w:rsid w:val="0190754B"/>
    <w:rsid w:val="01A80CA7"/>
    <w:rsid w:val="01A94394"/>
    <w:rsid w:val="01AD746A"/>
    <w:rsid w:val="01AE5980"/>
    <w:rsid w:val="01B92E0B"/>
    <w:rsid w:val="01BC1E94"/>
    <w:rsid w:val="01BC79DE"/>
    <w:rsid w:val="01EA13D9"/>
    <w:rsid w:val="01F16CC7"/>
    <w:rsid w:val="02217ABE"/>
    <w:rsid w:val="02580F73"/>
    <w:rsid w:val="0288688F"/>
    <w:rsid w:val="029A6078"/>
    <w:rsid w:val="02A95BFE"/>
    <w:rsid w:val="02B251FA"/>
    <w:rsid w:val="030728C0"/>
    <w:rsid w:val="03201B76"/>
    <w:rsid w:val="032323CF"/>
    <w:rsid w:val="03513DFF"/>
    <w:rsid w:val="03AA1EFB"/>
    <w:rsid w:val="03EC784E"/>
    <w:rsid w:val="03EE7BD4"/>
    <w:rsid w:val="03FF43E8"/>
    <w:rsid w:val="0433286B"/>
    <w:rsid w:val="04361F37"/>
    <w:rsid w:val="043E50C9"/>
    <w:rsid w:val="045751BA"/>
    <w:rsid w:val="04590B9C"/>
    <w:rsid w:val="045F49D0"/>
    <w:rsid w:val="04707B99"/>
    <w:rsid w:val="0494621C"/>
    <w:rsid w:val="05080EF4"/>
    <w:rsid w:val="052363E8"/>
    <w:rsid w:val="052E7D5B"/>
    <w:rsid w:val="055E7E9A"/>
    <w:rsid w:val="05B53E15"/>
    <w:rsid w:val="05D54B29"/>
    <w:rsid w:val="05D56AAF"/>
    <w:rsid w:val="05EB705E"/>
    <w:rsid w:val="05EC5425"/>
    <w:rsid w:val="05FE1DFD"/>
    <w:rsid w:val="06256241"/>
    <w:rsid w:val="06282C0F"/>
    <w:rsid w:val="062E652C"/>
    <w:rsid w:val="06385C3A"/>
    <w:rsid w:val="06897314"/>
    <w:rsid w:val="06DB02CA"/>
    <w:rsid w:val="06DE1179"/>
    <w:rsid w:val="073021C6"/>
    <w:rsid w:val="0735147C"/>
    <w:rsid w:val="073606B5"/>
    <w:rsid w:val="076E08A4"/>
    <w:rsid w:val="084820ED"/>
    <w:rsid w:val="0848472D"/>
    <w:rsid w:val="085616A7"/>
    <w:rsid w:val="08685770"/>
    <w:rsid w:val="08853F9D"/>
    <w:rsid w:val="08A8142B"/>
    <w:rsid w:val="08B33602"/>
    <w:rsid w:val="08BC0C6F"/>
    <w:rsid w:val="08E65683"/>
    <w:rsid w:val="09146A97"/>
    <w:rsid w:val="091704A3"/>
    <w:rsid w:val="097D6EB9"/>
    <w:rsid w:val="099473DA"/>
    <w:rsid w:val="09B349EB"/>
    <w:rsid w:val="09C906BB"/>
    <w:rsid w:val="09FE0F44"/>
    <w:rsid w:val="0A322F96"/>
    <w:rsid w:val="0A505C93"/>
    <w:rsid w:val="0A71388D"/>
    <w:rsid w:val="0AAB70D5"/>
    <w:rsid w:val="0AD113FA"/>
    <w:rsid w:val="0AF17346"/>
    <w:rsid w:val="0B615CE0"/>
    <w:rsid w:val="0B740888"/>
    <w:rsid w:val="0BAA5E40"/>
    <w:rsid w:val="0BB87274"/>
    <w:rsid w:val="0BB93200"/>
    <w:rsid w:val="0C9B02EB"/>
    <w:rsid w:val="0CC5636B"/>
    <w:rsid w:val="0CCE64DB"/>
    <w:rsid w:val="0D291544"/>
    <w:rsid w:val="0D711D1E"/>
    <w:rsid w:val="0DC86F0C"/>
    <w:rsid w:val="0DC91484"/>
    <w:rsid w:val="0DD915C5"/>
    <w:rsid w:val="0DED780B"/>
    <w:rsid w:val="0DF734C2"/>
    <w:rsid w:val="0E1F6ACD"/>
    <w:rsid w:val="0E4F5059"/>
    <w:rsid w:val="0E912E89"/>
    <w:rsid w:val="0E921B48"/>
    <w:rsid w:val="0EC6644A"/>
    <w:rsid w:val="0EED00BF"/>
    <w:rsid w:val="0EF1377E"/>
    <w:rsid w:val="0EF55C68"/>
    <w:rsid w:val="0F906463"/>
    <w:rsid w:val="0F960136"/>
    <w:rsid w:val="0FB109EC"/>
    <w:rsid w:val="0FC111B0"/>
    <w:rsid w:val="0FDC0D47"/>
    <w:rsid w:val="0FE34016"/>
    <w:rsid w:val="10486EE3"/>
    <w:rsid w:val="10500333"/>
    <w:rsid w:val="10653AC7"/>
    <w:rsid w:val="109249BF"/>
    <w:rsid w:val="10B745A7"/>
    <w:rsid w:val="10E07A24"/>
    <w:rsid w:val="11010B47"/>
    <w:rsid w:val="113E40B4"/>
    <w:rsid w:val="114855D0"/>
    <w:rsid w:val="116419CA"/>
    <w:rsid w:val="11884063"/>
    <w:rsid w:val="11AF7918"/>
    <w:rsid w:val="11C0671A"/>
    <w:rsid w:val="11EC0F98"/>
    <w:rsid w:val="125F0CCE"/>
    <w:rsid w:val="127A41F6"/>
    <w:rsid w:val="12AC1E3D"/>
    <w:rsid w:val="12CD6204"/>
    <w:rsid w:val="12F70DD2"/>
    <w:rsid w:val="130343B4"/>
    <w:rsid w:val="1316741D"/>
    <w:rsid w:val="132F7D9B"/>
    <w:rsid w:val="133D74D1"/>
    <w:rsid w:val="136852AF"/>
    <w:rsid w:val="136D3763"/>
    <w:rsid w:val="138E56A6"/>
    <w:rsid w:val="13DF206C"/>
    <w:rsid w:val="13E66196"/>
    <w:rsid w:val="142828AC"/>
    <w:rsid w:val="14541C11"/>
    <w:rsid w:val="1454537F"/>
    <w:rsid w:val="14A10540"/>
    <w:rsid w:val="14D53140"/>
    <w:rsid w:val="151219E5"/>
    <w:rsid w:val="15322265"/>
    <w:rsid w:val="154565E5"/>
    <w:rsid w:val="154A0880"/>
    <w:rsid w:val="158C79D6"/>
    <w:rsid w:val="15C04DB3"/>
    <w:rsid w:val="15DD3741"/>
    <w:rsid w:val="16242C5F"/>
    <w:rsid w:val="162534ED"/>
    <w:rsid w:val="16295566"/>
    <w:rsid w:val="163930BC"/>
    <w:rsid w:val="163A6ADB"/>
    <w:rsid w:val="163C6DD0"/>
    <w:rsid w:val="1648501A"/>
    <w:rsid w:val="16752DAD"/>
    <w:rsid w:val="16801899"/>
    <w:rsid w:val="16A519E7"/>
    <w:rsid w:val="16AD194F"/>
    <w:rsid w:val="16C93202"/>
    <w:rsid w:val="174A2788"/>
    <w:rsid w:val="17582039"/>
    <w:rsid w:val="176B2C2E"/>
    <w:rsid w:val="17E51AB5"/>
    <w:rsid w:val="17F54306"/>
    <w:rsid w:val="184D3F50"/>
    <w:rsid w:val="187243C5"/>
    <w:rsid w:val="188322D8"/>
    <w:rsid w:val="18A0544F"/>
    <w:rsid w:val="19096C62"/>
    <w:rsid w:val="190A2126"/>
    <w:rsid w:val="19290C75"/>
    <w:rsid w:val="195A132D"/>
    <w:rsid w:val="196A3B99"/>
    <w:rsid w:val="199411D9"/>
    <w:rsid w:val="19B05B8A"/>
    <w:rsid w:val="19CC44FD"/>
    <w:rsid w:val="19D14F27"/>
    <w:rsid w:val="19EB7E31"/>
    <w:rsid w:val="1A3871F1"/>
    <w:rsid w:val="1A3C6472"/>
    <w:rsid w:val="1AB77B70"/>
    <w:rsid w:val="1B7E0C66"/>
    <w:rsid w:val="1BA77BBC"/>
    <w:rsid w:val="1BB10441"/>
    <w:rsid w:val="1BBC3B20"/>
    <w:rsid w:val="1BDF192A"/>
    <w:rsid w:val="1C154C98"/>
    <w:rsid w:val="1C4B7BF3"/>
    <w:rsid w:val="1C503517"/>
    <w:rsid w:val="1C5277AB"/>
    <w:rsid w:val="1C644EE6"/>
    <w:rsid w:val="1C686F5E"/>
    <w:rsid w:val="1C6C5115"/>
    <w:rsid w:val="1C6D2E71"/>
    <w:rsid w:val="1C71501B"/>
    <w:rsid w:val="1CBB7844"/>
    <w:rsid w:val="1CDE7635"/>
    <w:rsid w:val="1CF57939"/>
    <w:rsid w:val="1D0F42F2"/>
    <w:rsid w:val="1D1C4DF6"/>
    <w:rsid w:val="1D453EBD"/>
    <w:rsid w:val="1D685911"/>
    <w:rsid w:val="1D69550A"/>
    <w:rsid w:val="1DA74621"/>
    <w:rsid w:val="1DCA0E4B"/>
    <w:rsid w:val="1E08761E"/>
    <w:rsid w:val="1E120CC1"/>
    <w:rsid w:val="1E1545FD"/>
    <w:rsid w:val="1E584817"/>
    <w:rsid w:val="1E6311DF"/>
    <w:rsid w:val="1E9F735E"/>
    <w:rsid w:val="1EE84392"/>
    <w:rsid w:val="1EED3B25"/>
    <w:rsid w:val="1EFC4C0E"/>
    <w:rsid w:val="1F1B6CE1"/>
    <w:rsid w:val="1F3D0ECD"/>
    <w:rsid w:val="1F4237E0"/>
    <w:rsid w:val="1F7E5ED6"/>
    <w:rsid w:val="1FA15838"/>
    <w:rsid w:val="1FB405AC"/>
    <w:rsid w:val="1FFF082A"/>
    <w:rsid w:val="204804FC"/>
    <w:rsid w:val="20B1044D"/>
    <w:rsid w:val="20D656A0"/>
    <w:rsid w:val="210A0060"/>
    <w:rsid w:val="2145163A"/>
    <w:rsid w:val="215272A1"/>
    <w:rsid w:val="21607678"/>
    <w:rsid w:val="21724548"/>
    <w:rsid w:val="218F2834"/>
    <w:rsid w:val="21917EEB"/>
    <w:rsid w:val="21B553F1"/>
    <w:rsid w:val="21BF0588"/>
    <w:rsid w:val="21CE4550"/>
    <w:rsid w:val="22262240"/>
    <w:rsid w:val="225B3EBE"/>
    <w:rsid w:val="22902E8B"/>
    <w:rsid w:val="22A00CC1"/>
    <w:rsid w:val="22DF317A"/>
    <w:rsid w:val="22EA1275"/>
    <w:rsid w:val="231C3A79"/>
    <w:rsid w:val="23285D43"/>
    <w:rsid w:val="237D4C98"/>
    <w:rsid w:val="239B13E3"/>
    <w:rsid w:val="23AD4E8B"/>
    <w:rsid w:val="23B864B7"/>
    <w:rsid w:val="23CA1080"/>
    <w:rsid w:val="240975BD"/>
    <w:rsid w:val="240B5760"/>
    <w:rsid w:val="24237AE9"/>
    <w:rsid w:val="243C2A14"/>
    <w:rsid w:val="245A11B3"/>
    <w:rsid w:val="24A3758C"/>
    <w:rsid w:val="24C50C7D"/>
    <w:rsid w:val="24D61C5D"/>
    <w:rsid w:val="24F133D5"/>
    <w:rsid w:val="25472FE2"/>
    <w:rsid w:val="256179C6"/>
    <w:rsid w:val="2592473E"/>
    <w:rsid w:val="25B20169"/>
    <w:rsid w:val="25CE2877"/>
    <w:rsid w:val="260D5649"/>
    <w:rsid w:val="261567DD"/>
    <w:rsid w:val="263D2C04"/>
    <w:rsid w:val="266436BA"/>
    <w:rsid w:val="26886C82"/>
    <w:rsid w:val="275C05CF"/>
    <w:rsid w:val="27B71EE2"/>
    <w:rsid w:val="27D96478"/>
    <w:rsid w:val="2818062E"/>
    <w:rsid w:val="28605ABD"/>
    <w:rsid w:val="2875688E"/>
    <w:rsid w:val="289E7301"/>
    <w:rsid w:val="28FE68D3"/>
    <w:rsid w:val="29101E82"/>
    <w:rsid w:val="29132156"/>
    <w:rsid w:val="2928330B"/>
    <w:rsid w:val="294423A5"/>
    <w:rsid w:val="2945030F"/>
    <w:rsid w:val="29940C77"/>
    <w:rsid w:val="29C73DCE"/>
    <w:rsid w:val="2A0F3E0B"/>
    <w:rsid w:val="2A29730F"/>
    <w:rsid w:val="2A3F6A24"/>
    <w:rsid w:val="2A804404"/>
    <w:rsid w:val="2AB037D0"/>
    <w:rsid w:val="2AD70E25"/>
    <w:rsid w:val="2AE14414"/>
    <w:rsid w:val="2B0E0425"/>
    <w:rsid w:val="2B567147"/>
    <w:rsid w:val="2B64667B"/>
    <w:rsid w:val="2B6E4EA7"/>
    <w:rsid w:val="2BA04A42"/>
    <w:rsid w:val="2BAA147B"/>
    <w:rsid w:val="2BC2356D"/>
    <w:rsid w:val="2BDC6590"/>
    <w:rsid w:val="2BEA250F"/>
    <w:rsid w:val="2C82063F"/>
    <w:rsid w:val="2C8526EB"/>
    <w:rsid w:val="2C8F0F5E"/>
    <w:rsid w:val="2C933ED2"/>
    <w:rsid w:val="2CAF721A"/>
    <w:rsid w:val="2CD02E89"/>
    <w:rsid w:val="2CD355E5"/>
    <w:rsid w:val="2CF70513"/>
    <w:rsid w:val="2D157EF1"/>
    <w:rsid w:val="2D492416"/>
    <w:rsid w:val="2D630BF5"/>
    <w:rsid w:val="2D683B1A"/>
    <w:rsid w:val="2D9967B2"/>
    <w:rsid w:val="2E096584"/>
    <w:rsid w:val="2E18653B"/>
    <w:rsid w:val="2E304837"/>
    <w:rsid w:val="2ED204B4"/>
    <w:rsid w:val="2EEF4B56"/>
    <w:rsid w:val="2F116EAA"/>
    <w:rsid w:val="2F2153B9"/>
    <w:rsid w:val="2F3D79E5"/>
    <w:rsid w:val="2F3E5424"/>
    <w:rsid w:val="2F945EB2"/>
    <w:rsid w:val="2F960F76"/>
    <w:rsid w:val="2F993D73"/>
    <w:rsid w:val="2FB82989"/>
    <w:rsid w:val="2FB94B8D"/>
    <w:rsid w:val="2FC2375A"/>
    <w:rsid w:val="2FDF1E4C"/>
    <w:rsid w:val="301C1249"/>
    <w:rsid w:val="306F3EDF"/>
    <w:rsid w:val="30715D65"/>
    <w:rsid w:val="30A27BDA"/>
    <w:rsid w:val="30CF4107"/>
    <w:rsid w:val="30E40E45"/>
    <w:rsid w:val="311E1D79"/>
    <w:rsid w:val="312C76C4"/>
    <w:rsid w:val="31955E8E"/>
    <w:rsid w:val="319F4192"/>
    <w:rsid w:val="31A93EAF"/>
    <w:rsid w:val="31C4653E"/>
    <w:rsid w:val="320639AA"/>
    <w:rsid w:val="321C39BD"/>
    <w:rsid w:val="324210B7"/>
    <w:rsid w:val="3299104D"/>
    <w:rsid w:val="32B921DF"/>
    <w:rsid w:val="32D63530"/>
    <w:rsid w:val="32DA2660"/>
    <w:rsid w:val="32F86353"/>
    <w:rsid w:val="33042420"/>
    <w:rsid w:val="33937AE1"/>
    <w:rsid w:val="33B06D18"/>
    <w:rsid w:val="33B80D59"/>
    <w:rsid w:val="33EA4B40"/>
    <w:rsid w:val="33ED01D8"/>
    <w:rsid w:val="33F44233"/>
    <w:rsid w:val="34426FF7"/>
    <w:rsid w:val="34607D6E"/>
    <w:rsid w:val="349943B1"/>
    <w:rsid w:val="34AF2B3D"/>
    <w:rsid w:val="34B86C50"/>
    <w:rsid w:val="34CB2213"/>
    <w:rsid w:val="34EE3410"/>
    <w:rsid w:val="34F5430E"/>
    <w:rsid w:val="35246BA8"/>
    <w:rsid w:val="354A05A5"/>
    <w:rsid w:val="35661741"/>
    <w:rsid w:val="35923942"/>
    <w:rsid w:val="361350DA"/>
    <w:rsid w:val="363A56A5"/>
    <w:rsid w:val="3648702B"/>
    <w:rsid w:val="36983867"/>
    <w:rsid w:val="36AC09D0"/>
    <w:rsid w:val="36B62051"/>
    <w:rsid w:val="37076270"/>
    <w:rsid w:val="3739038C"/>
    <w:rsid w:val="37514CD7"/>
    <w:rsid w:val="37837C3A"/>
    <w:rsid w:val="37C65044"/>
    <w:rsid w:val="37F16ECD"/>
    <w:rsid w:val="3843220F"/>
    <w:rsid w:val="388C2B88"/>
    <w:rsid w:val="38944557"/>
    <w:rsid w:val="38AD5D03"/>
    <w:rsid w:val="38BC6A12"/>
    <w:rsid w:val="38C83683"/>
    <w:rsid w:val="38D22771"/>
    <w:rsid w:val="38D50208"/>
    <w:rsid w:val="38FA0071"/>
    <w:rsid w:val="391E0FF2"/>
    <w:rsid w:val="392B1D86"/>
    <w:rsid w:val="395C6229"/>
    <w:rsid w:val="397107C4"/>
    <w:rsid w:val="398A130B"/>
    <w:rsid w:val="39FB1D00"/>
    <w:rsid w:val="3A1F4DC4"/>
    <w:rsid w:val="3A2805D8"/>
    <w:rsid w:val="3AD1566A"/>
    <w:rsid w:val="3ADA5967"/>
    <w:rsid w:val="3B0D302F"/>
    <w:rsid w:val="3B2F0A76"/>
    <w:rsid w:val="3B4F43F9"/>
    <w:rsid w:val="3B646A73"/>
    <w:rsid w:val="3B8063EB"/>
    <w:rsid w:val="3C004D91"/>
    <w:rsid w:val="3C072DF0"/>
    <w:rsid w:val="3C4F70F2"/>
    <w:rsid w:val="3C5202F5"/>
    <w:rsid w:val="3C777B1E"/>
    <w:rsid w:val="3CC45FF8"/>
    <w:rsid w:val="3CFA2D79"/>
    <w:rsid w:val="3D5B700C"/>
    <w:rsid w:val="3E2A3E6E"/>
    <w:rsid w:val="3E2F53B5"/>
    <w:rsid w:val="3E7664AC"/>
    <w:rsid w:val="3EB246AC"/>
    <w:rsid w:val="3EB269D5"/>
    <w:rsid w:val="3EC324FA"/>
    <w:rsid w:val="3EF11164"/>
    <w:rsid w:val="3EFD143A"/>
    <w:rsid w:val="3F3C745D"/>
    <w:rsid w:val="3F4C06E4"/>
    <w:rsid w:val="3FBC7E79"/>
    <w:rsid w:val="3FD54E04"/>
    <w:rsid w:val="40C34AB1"/>
    <w:rsid w:val="40D03190"/>
    <w:rsid w:val="40ED3B2A"/>
    <w:rsid w:val="40EF6C0C"/>
    <w:rsid w:val="40F34398"/>
    <w:rsid w:val="40FB31B5"/>
    <w:rsid w:val="411B7C1F"/>
    <w:rsid w:val="41682A5B"/>
    <w:rsid w:val="4171134B"/>
    <w:rsid w:val="41905F6A"/>
    <w:rsid w:val="41EA575B"/>
    <w:rsid w:val="41F73916"/>
    <w:rsid w:val="42227DBB"/>
    <w:rsid w:val="42853403"/>
    <w:rsid w:val="42C43567"/>
    <w:rsid w:val="43175956"/>
    <w:rsid w:val="433034B4"/>
    <w:rsid w:val="434A7003"/>
    <w:rsid w:val="434E6E65"/>
    <w:rsid w:val="437A0008"/>
    <w:rsid w:val="438048B6"/>
    <w:rsid w:val="438B5D94"/>
    <w:rsid w:val="43B52508"/>
    <w:rsid w:val="43E04A60"/>
    <w:rsid w:val="43F13D73"/>
    <w:rsid w:val="440702B1"/>
    <w:rsid w:val="44135C48"/>
    <w:rsid w:val="44250AA6"/>
    <w:rsid w:val="44256C42"/>
    <w:rsid w:val="44831707"/>
    <w:rsid w:val="45102C17"/>
    <w:rsid w:val="454C61C7"/>
    <w:rsid w:val="457A118B"/>
    <w:rsid w:val="45C22433"/>
    <w:rsid w:val="45DE52D1"/>
    <w:rsid w:val="45E25600"/>
    <w:rsid w:val="45F0027A"/>
    <w:rsid w:val="4602782F"/>
    <w:rsid w:val="46193F07"/>
    <w:rsid w:val="463A1C22"/>
    <w:rsid w:val="46495895"/>
    <w:rsid w:val="46806588"/>
    <w:rsid w:val="46B849AC"/>
    <w:rsid w:val="47044936"/>
    <w:rsid w:val="47125195"/>
    <w:rsid w:val="471C067C"/>
    <w:rsid w:val="47413A33"/>
    <w:rsid w:val="474574C0"/>
    <w:rsid w:val="4749400D"/>
    <w:rsid w:val="4778633A"/>
    <w:rsid w:val="477F4E93"/>
    <w:rsid w:val="47CF4179"/>
    <w:rsid w:val="47E240E1"/>
    <w:rsid w:val="47F3649A"/>
    <w:rsid w:val="482232A1"/>
    <w:rsid w:val="482437A8"/>
    <w:rsid w:val="48275F0F"/>
    <w:rsid w:val="483943C5"/>
    <w:rsid w:val="484C4115"/>
    <w:rsid w:val="488519BA"/>
    <w:rsid w:val="48857366"/>
    <w:rsid w:val="48A112A3"/>
    <w:rsid w:val="48A11627"/>
    <w:rsid w:val="491F61CD"/>
    <w:rsid w:val="493923E6"/>
    <w:rsid w:val="494875F1"/>
    <w:rsid w:val="49795F5C"/>
    <w:rsid w:val="49EF2117"/>
    <w:rsid w:val="49F248BA"/>
    <w:rsid w:val="49FA7DC9"/>
    <w:rsid w:val="4A01124B"/>
    <w:rsid w:val="4A4F79F6"/>
    <w:rsid w:val="4A804AF3"/>
    <w:rsid w:val="4A805032"/>
    <w:rsid w:val="4A914E31"/>
    <w:rsid w:val="4A934EF7"/>
    <w:rsid w:val="4AFA2EC3"/>
    <w:rsid w:val="4B161641"/>
    <w:rsid w:val="4B30079B"/>
    <w:rsid w:val="4BD07BA0"/>
    <w:rsid w:val="4BED3CB3"/>
    <w:rsid w:val="4BFA1705"/>
    <w:rsid w:val="4C162028"/>
    <w:rsid w:val="4C1A31F3"/>
    <w:rsid w:val="4C485217"/>
    <w:rsid w:val="4C5B5B71"/>
    <w:rsid w:val="4CA22353"/>
    <w:rsid w:val="4CA329C1"/>
    <w:rsid w:val="4CA967ED"/>
    <w:rsid w:val="4CAD4C65"/>
    <w:rsid w:val="4CCB0025"/>
    <w:rsid w:val="4CD55AAD"/>
    <w:rsid w:val="4D183BBC"/>
    <w:rsid w:val="4D21450F"/>
    <w:rsid w:val="4DA358B7"/>
    <w:rsid w:val="4E0A5D91"/>
    <w:rsid w:val="4E156CCD"/>
    <w:rsid w:val="4E18561C"/>
    <w:rsid w:val="4E2073C5"/>
    <w:rsid w:val="4E270AFD"/>
    <w:rsid w:val="4E9F6B02"/>
    <w:rsid w:val="4EA0546A"/>
    <w:rsid w:val="4F4025E1"/>
    <w:rsid w:val="4F657386"/>
    <w:rsid w:val="4F70427D"/>
    <w:rsid w:val="4F7B53CC"/>
    <w:rsid w:val="4F890AA1"/>
    <w:rsid w:val="4FF760B9"/>
    <w:rsid w:val="5043434A"/>
    <w:rsid w:val="506336CE"/>
    <w:rsid w:val="50B73F06"/>
    <w:rsid w:val="511601D8"/>
    <w:rsid w:val="51271FA2"/>
    <w:rsid w:val="515D0D67"/>
    <w:rsid w:val="51641AB3"/>
    <w:rsid w:val="51787F08"/>
    <w:rsid w:val="51EE0B08"/>
    <w:rsid w:val="521B3ECE"/>
    <w:rsid w:val="525F2C46"/>
    <w:rsid w:val="527873CC"/>
    <w:rsid w:val="52A110AD"/>
    <w:rsid w:val="52D729D0"/>
    <w:rsid w:val="52E66182"/>
    <w:rsid w:val="52E70D90"/>
    <w:rsid w:val="53027C17"/>
    <w:rsid w:val="536C5510"/>
    <w:rsid w:val="5380082D"/>
    <w:rsid w:val="53831743"/>
    <w:rsid w:val="539D315E"/>
    <w:rsid w:val="53A457CC"/>
    <w:rsid w:val="53DF74A0"/>
    <w:rsid w:val="540B2786"/>
    <w:rsid w:val="54352CCA"/>
    <w:rsid w:val="544D39AB"/>
    <w:rsid w:val="547F3ECD"/>
    <w:rsid w:val="5494278A"/>
    <w:rsid w:val="549F1AA4"/>
    <w:rsid w:val="54D76D42"/>
    <w:rsid w:val="54E70E2C"/>
    <w:rsid w:val="552F4541"/>
    <w:rsid w:val="55630EF0"/>
    <w:rsid w:val="55820F08"/>
    <w:rsid w:val="559E21ED"/>
    <w:rsid w:val="55AB184C"/>
    <w:rsid w:val="55EE1CC9"/>
    <w:rsid w:val="56643961"/>
    <w:rsid w:val="5694244D"/>
    <w:rsid w:val="56AD1C8F"/>
    <w:rsid w:val="56B6265F"/>
    <w:rsid w:val="57441A98"/>
    <w:rsid w:val="577A2F9D"/>
    <w:rsid w:val="579676DB"/>
    <w:rsid w:val="57993B9F"/>
    <w:rsid w:val="579D4215"/>
    <w:rsid w:val="57A47A4C"/>
    <w:rsid w:val="57C53EA9"/>
    <w:rsid w:val="57E7517B"/>
    <w:rsid w:val="57EF3B8A"/>
    <w:rsid w:val="57EF461A"/>
    <w:rsid w:val="57F35C0C"/>
    <w:rsid w:val="57FB1451"/>
    <w:rsid w:val="58DB2CF7"/>
    <w:rsid w:val="58E03A72"/>
    <w:rsid w:val="59154774"/>
    <w:rsid w:val="59795D6B"/>
    <w:rsid w:val="59816EE9"/>
    <w:rsid w:val="59917878"/>
    <w:rsid w:val="59B75A9B"/>
    <w:rsid w:val="59C26AB3"/>
    <w:rsid w:val="59EF3C16"/>
    <w:rsid w:val="59FF49F7"/>
    <w:rsid w:val="5A112E1F"/>
    <w:rsid w:val="5A1565A2"/>
    <w:rsid w:val="5A27013C"/>
    <w:rsid w:val="5A5110C7"/>
    <w:rsid w:val="5A554C4A"/>
    <w:rsid w:val="5A886840"/>
    <w:rsid w:val="5A90344A"/>
    <w:rsid w:val="5AA101FA"/>
    <w:rsid w:val="5AD4113C"/>
    <w:rsid w:val="5ADF2608"/>
    <w:rsid w:val="5AE17195"/>
    <w:rsid w:val="5AE4331C"/>
    <w:rsid w:val="5B0F4A6F"/>
    <w:rsid w:val="5B283E23"/>
    <w:rsid w:val="5B7936D7"/>
    <w:rsid w:val="5B8D369A"/>
    <w:rsid w:val="5BA52300"/>
    <w:rsid w:val="5BCD7CE7"/>
    <w:rsid w:val="5BD63606"/>
    <w:rsid w:val="5BF37D85"/>
    <w:rsid w:val="5C7C02B2"/>
    <w:rsid w:val="5CB55430"/>
    <w:rsid w:val="5D23282F"/>
    <w:rsid w:val="5D5740A3"/>
    <w:rsid w:val="5DAF614C"/>
    <w:rsid w:val="5DAF61D5"/>
    <w:rsid w:val="5DB97ABB"/>
    <w:rsid w:val="5DC66DAA"/>
    <w:rsid w:val="5E221351"/>
    <w:rsid w:val="5E34466E"/>
    <w:rsid w:val="5E385DE0"/>
    <w:rsid w:val="5E53458B"/>
    <w:rsid w:val="5E867A62"/>
    <w:rsid w:val="5ED70EBF"/>
    <w:rsid w:val="5F293034"/>
    <w:rsid w:val="5F4A4493"/>
    <w:rsid w:val="5F744E45"/>
    <w:rsid w:val="5F785ABA"/>
    <w:rsid w:val="5F7C32CD"/>
    <w:rsid w:val="5FAB3942"/>
    <w:rsid w:val="5FB40660"/>
    <w:rsid w:val="5FBA62FD"/>
    <w:rsid w:val="5FF74F9E"/>
    <w:rsid w:val="600749BD"/>
    <w:rsid w:val="601E1549"/>
    <w:rsid w:val="606C6122"/>
    <w:rsid w:val="608D0D09"/>
    <w:rsid w:val="608D57BB"/>
    <w:rsid w:val="60CB54CE"/>
    <w:rsid w:val="61372990"/>
    <w:rsid w:val="614919FC"/>
    <w:rsid w:val="61584565"/>
    <w:rsid w:val="61892D92"/>
    <w:rsid w:val="619903B2"/>
    <w:rsid w:val="61C4766C"/>
    <w:rsid w:val="61E1667C"/>
    <w:rsid w:val="61E85909"/>
    <w:rsid w:val="6216280E"/>
    <w:rsid w:val="622F597B"/>
    <w:rsid w:val="6241623D"/>
    <w:rsid w:val="624C3338"/>
    <w:rsid w:val="626A1ACC"/>
    <w:rsid w:val="62826F85"/>
    <w:rsid w:val="62A954EA"/>
    <w:rsid w:val="62D82867"/>
    <w:rsid w:val="62DA0B48"/>
    <w:rsid w:val="63216132"/>
    <w:rsid w:val="633536A3"/>
    <w:rsid w:val="63645F9E"/>
    <w:rsid w:val="637A32B6"/>
    <w:rsid w:val="63C063DC"/>
    <w:rsid w:val="63D07440"/>
    <w:rsid w:val="63F30264"/>
    <w:rsid w:val="63F3709A"/>
    <w:rsid w:val="643B5D45"/>
    <w:rsid w:val="644677B8"/>
    <w:rsid w:val="644860C9"/>
    <w:rsid w:val="6466154E"/>
    <w:rsid w:val="64774820"/>
    <w:rsid w:val="64C41B5D"/>
    <w:rsid w:val="64D64C6A"/>
    <w:rsid w:val="64EC60C7"/>
    <w:rsid w:val="64F00B22"/>
    <w:rsid w:val="650A7DD4"/>
    <w:rsid w:val="65134B2C"/>
    <w:rsid w:val="6520161E"/>
    <w:rsid w:val="6549300F"/>
    <w:rsid w:val="65605845"/>
    <w:rsid w:val="65823808"/>
    <w:rsid w:val="65B2392B"/>
    <w:rsid w:val="660A3ADF"/>
    <w:rsid w:val="663B34AD"/>
    <w:rsid w:val="663D10F3"/>
    <w:rsid w:val="66A95ECC"/>
    <w:rsid w:val="66DD64FC"/>
    <w:rsid w:val="66E13050"/>
    <w:rsid w:val="67095ADF"/>
    <w:rsid w:val="671B0DEB"/>
    <w:rsid w:val="671E0450"/>
    <w:rsid w:val="67317EBB"/>
    <w:rsid w:val="678E391E"/>
    <w:rsid w:val="679B50CA"/>
    <w:rsid w:val="67FA6A3F"/>
    <w:rsid w:val="680B253A"/>
    <w:rsid w:val="682C687D"/>
    <w:rsid w:val="68376FF7"/>
    <w:rsid w:val="68575BA8"/>
    <w:rsid w:val="685862A6"/>
    <w:rsid w:val="689419EA"/>
    <w:rsid w:val="689C6431"/>
    <w:rsid w:val="68AA55A3"/>
    <w:rsid w:val="68BB4544"/>
    <w:rsid w:val="68DF6BE0"/>
    <w:rsid w:val="6923798E"/>
    <w:rsid w:val="694C4FCB"/>
    <w:rsid w:val="697437EC"/>
    <w:rsid w:val="697F6304"/>
    <w:rsid w:val="698A0FCF"/>
    <w:rsid w:val="699F6149"/>
    <w:rsid w:val="69C96D95"/>
    <w:rsid w:val="6A7B60B3"/>
    <w:rsid w:val="6A87709D"/>
    <w:rsid w:val="6AB27E3C"/>
    <w:rsid w:val="6AE85624"/>
    <w:rsid w:val="6AEF79C7"/>
    <w:rsid w:val="6B1945ED"/>
    <w:rsid w:val="6B37672C"/>
    <w:rsid w:val="6BB44979"/>
    <w:rsid w:val="6CAA43FA"/>
    <w:rsid w:val="6CAA7494"/>
    <w:rsid w:val="6CBF4B7B"/>
    <w:rsid w:val="6CC03607"/>
    <w:rsid w:val="6CD729A2"/>
    <w:rsid w:val="6D036F40"/>
    <w:rsid w:val="6D080121"/>
    <w:rsid w:val="6D3C1A3E"/>
    <w:rsid w:val="6D4C607A"/>
    <w:rsid w:val="6D6469CA"/>
    <w:rsid w:val="6D7E17B2"/>
    <w:rsid w:val="6DF94363"/>
    <w:rsid w:val="6E0770FD"/>
    <w:rsid w:val="6E485A8C"/>
    <w:rsid w:val="6E4E0808"/>
    <w:rsid w:val="6E7A296E"/>
    <w:rsid w:val="6E8135E2"/>
    <w:rsid w:val="6E9A4347"/>
    <w:rsid w:val="6F496F4F"/>
    <w:rsid w:val="6F686C82"/>
    <w:rsid w:val="6F6B5D60"/>
    <w:rsid w:val="6F7B55B2"/>
    <w:rsid w:val="6F8432D3"/>
    <w:rsid w:val="6F89127B"/>
    <w:rsid w:val="6F8938E1"/>
    <w:rsid w:val="6FE85BC5"/>
    <w:rsid w:val="6FE86131"/>
    <w:rsid w:val="6FF304BF"/>
    <w:rsid w:val="701B184C"/>
    <w:rsid w:val="70205151"/>
    <w:rsid w:val="707A7297"/>
    <w:rsid w:val="70A072EB"/>
    <w:rsid w:val="70BA0F7F"/>
    <w:rsid w:val="71011B05"/>
    <w:rsid w:val="712F10B9"/>
    <w:rsid w:val="719A2941"/>
    <w:rsid w:val="719D5A4A"/>
    <w:rsid w:val="71A46DE3"/>
    <w:rsid w:val="71C26BB4"/>
    <w:rsid w:val="71F912B2"/>
    <w:rsid w:val="72053376"/>
    <w:rsid w:val="722C56E9"/>
    <w:rsid w:val="723756E3"/>
    <w:rsid w:val="72417E51"/>
    <w:rsid w:val="728916C2"/>
    <w:rsid w:val="72AD2654"/>
    <w:rsid w:val="72CD60F9"/>
    <w:rsid w:val="72F8341D"/>
    <w:rsid w:val="730636C1"/>
    <w:rsid w:val="732E0DB5"/>
    <w:rsid w:val="73301027"/>
    <w:rsid w:val="73C86F39"/>
    <w:rsid w:val="73EEEE3F"/>
    <w:rsid w:val="73F06341"/>
    <w:rsid w:val="73F1487F"/>
    <w:rsid w:val="743455C1"/>
    <w:rsid w:val="745F395B"/>
    <w:rsid w:val="746B10FF"/>
    <w:rsid w:val="747B7A28"/>
    <w:rsid w:val="7487215D"/>
    <w:rsid w:val="74C41DA5"/>
    <w:rsid w:val="74CD0CE4"/>
    <w:rsid w:val="7552735C"/>
    <w:rsid w:val="758B0F13"/>
    <w:rsid w:val="75BE6372"/>
    <w:rsid w:val="75C04E56"/>
    <w:rsid w:val="76047EFB"/>
    <w:rsid w:val="76495B5C"/>
    <w:rsid w:val="764F03E2"/>
    <w:rsid w:val="765A0438"/>
    <w:rsid w:val="7660243F"/>
    <w:rsid w:val="768B19DA"/>
    <w:rsid w:val="768E786F"/>
    <w:rsid w:val="76BA6C05"/>
    <w:rsid w:val="773105ED"/>
    <w:rsid w:val="77464F72"/>
    <w:rsid w:val="77630A5F"/>
    <w:rsid w:val="776D4964"/>
    <w:rsid w:val="77716BF6"/>
    <w:rsid w:val="777A25FC"/>
    <w:rsid w:val="77A952ED"/>
    <w:rsid w:val="77C3448D"/>
    <w:rsid w:val="77D969CF"/>
    <w:rsid w:val="77DD20B2"/>
    <w:rsid w:val="77E004D1"/>
    <w:rsid w:val="77E13E06"/>
    <w:rsid w:val="78036637"/>
    <w:rsid w:val="78041AD9"/>
    <w:rsid w:val="7860589F"/>
    <w:rsid w:val="78BC4272"/>
    <w:rsid w:val="790F7029"/>
    <w:rsid w:val="79155BB6"/>
    <w:rsid w:val="79294A4D"/>
    <w:rsid w:val="793C1007"/>
    <w:rsid w:val="794D7526"/>
    <w:rsid w:val="79733EC9"/>
    <w:rsid w:val="799C24EC"/>
    <w:rsid w:val="79C2263B"/>
    <w:rsid w:val="7A256679"/>
    <w:rsid w:val="7A2712F2"/>
    <w:rsid w:val="7A4C7F17"/>
    <w:rsid w:val="7A6155EC"/>
    <w:rsid w:val="7A747794"/>
    <w:rsid w:val="7A785BC5"/>
    <w:rsid w:val="7AAE435A"/>
    <w:rsid w:val="7AB07B04"/>
    <w:rsid w:val="7AFC7D8B"/>
    <w:rsid w:val="7B1D34FC"/>
    <w:rsid w:val="7B614D6D"/>
    <w:rsid w:val="7B793993"/>
    <w:rsid w:val="7B8644C1"/>
    <w:rsid w:val="7B893D2E"/>
    <w:rsid w:val="7B90568F"/>
    <w:rsid w:val="7BAD3491"/>
    <w:rsid w:val="7BFC7B7D"/>
    <w:rsid w:val="7C3015E4"/>
    <w:rsid w:val="7C3D4934"/>
    <w:rsid w:val="7C4E64D6"/>
    <w:rsid w:val="7C842FC1"/>
    <w:rsid w:val="7C9533FE"/>
    <w:rsid w:val="7CA27BD5"/>
    <w:rsid w:val="7CD24C05"/>
    <w:rsid w:val="7D587349"/>
    <w:rsid w:val="7D924786"/>
    <w:rsid w:val="7DB5269F"/>
    <w:rsid w:val="7E1C4E2B"/>
    <w:rsid w:val="7E20752D"/>
    <w:rsid w:val="7E3D2B07"/>
    <w:rsid w:val="7E4504BA"/>
    <w:rsid w:val="7E916978"/>
    <w:rsid w:val="7EB93A6A"/>
    <w:rsid w:val="7EBBC874"/>
    <w:rsid w:val="7EEF02A7"/>
    <w:rsid w:val="7F4B7030"/>
    <w:rsid w:val="7F832933"/>
    <w:rsid w:val="7F975936"/>
    <w:rsid w:val="7FBD722D"/>
    <w:rsid w:val="7FC255CB"/>
    <w:rsid w:val="7FC5211F"/>
    <w:rsid w:val="9BBFB225"/>
    <w:rsid w:val="DF3E7F60"/>
    <w:rsid w:val="F3E7E1B4"/>
    <w:rsid w:val="FEFFAC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720" w:firstLineChars="200"/>
      <w:jc w:val="both"/>
    </w:pPr>
    <w:rPr>
      <w:rFonts w:eastAsia="仿宋_GB2312" w:asciiTheme="minorHAnsi" w:hAnsiTheme="minorHAnsi" w:cstheme="minorBidi"/>
      <w:color w:val="000000" w:themeColor="text1"/>
      <w:kern w:val="2"/>
      <w:sz w:val="32"/>
      <w:szCs w:val="24"/>
      <w:lang w:val="en-US" w:eastAsia="zh-CN" w:bidi="ar-SA"/>
      <w14:textFill>
        <w14:solidFill>
          <w14:schemeClr w14:val="tx1"/>
        </w14:solidFill>
      </w14:textFill>
    </w:rPr>
  </w:style>
  <w:style w:type="paragraph" w:styleId="5">
    <w:name w:val="heading 1"/>
    <w:basedOn w:val="1"/>
    <w:next w:val="1"/>
    <w:qFormat/>
    <w:uiPriority w:val="0"/>
    <w:pPr>
      <w:ind w:firstLine="562"/>
      <w:jc w:val="left"/>
      <w:outlineLvl w:val="0"/>
    </w:pPr>
    <w:rPr>
      <w:rFonts w:eastAsia="黑体"/>
      <w:b/>
      <w:kern w:val="44"/>
    </w:rPr>
  </w:style>
  <w:style w:type="paragraph" w:styleId="6">
    <w:name w:val="heading 2"/>
    <w:basedOn w:val="1"/>
    <w:next w:val="1"/>
    <w:unhideWhenUsed/>
    <w:qFormat/>
    <w:uiPriority w:val="0"/>
    <w:pPr>
      <w:ind w:firstLine="723"/>
      <w:outlineLvl w:val="1"/>
    </w:pPr>
    <w:rPr>
      <w:rFonts w:ascii="Arial" w:hAnsi="Arial" w:eastAsia="华文中宋"/>
      <w:b/>
    </w:rPr>
  </w:style>
  <w:style w:type="paragraph" w:styleId="7">
    <w:name w:val="heading 3"/>
    <w:basedOn w:val="1"/>
    <w:next w:val="1"/>
    <w:link w:val="37"/>
    <w:unhideWhenUsed/>
    <w:qFormat/>
    <w:uiPriority w:val="0"/>
    <w:pPr>
      <w:ind w:firstLine="723"/>
      <w:jc w:val="left"/>
      <w:outlineLvl w:val="2"/>
    </w:pPr>
    <w:rPr>
      <w:rFonts w:eastAsia="楷体"/>
      <w:b/>
    </w:rPr>
  </w:style>
  <w:style w:type="paragraph" w:styleId="8">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customStyle="1" w:styleId="2">
    <w:name w:val="正文文本缩进 2 Char Char"/>
    <w:basedOn w:val="1"/>
    <w:next w:val="3"/>
    <w:unhideWhenUsed/>
    <w:qFormat/>
    <w:uiPriority w:val="99"/>
    <w:pPr>
      <w:spacing w:line="480" w:lineRule="auto"/>
    </w:pPr>
    <w:rPr>
      <w:rFonts w:hint="eastAsia" w:ascii="Times New Roman" w:hAnsi="Times New Roman"/>
    </w:rPr>
  </w:style>
  <w:style w:type="paragraph" w:styleId="3">
    <w:name w:val="Body Text First Indent 2"/>
    <w:basedOn w:val="4"/>
    <w:next w:val="1"/>
    <w:qFormat/>
    <w:uiPriority w:val="0"/>
    <w:pPr>
      <w:ind w:firstLine="420"/>
    </w:pPr>
  </w:style>
  <w:style w:type="paragraph" w:styleId="4">
    <w:name w:val="Body Text"/>
    <w:basedOn w:val="1"/>
    <w:unhideWhenUsed/>
    <w:qFormat/>
    <w:uiPriority w:val="99"/>
    <w:pPr>
      <w:spacing w:after="120"/>
    </w:pPr>
    <w:rPr>
      <w:rFonts w:cs="Times New Roman"/>
    </w:rPr>
  </w:style>
  <w:style w:type="paragraph" w:styleId="9">
    <w:name w:val="Normal Indent"/>
    <w:basedOn w:val="1"/>
    <w:qFormat/>
    <w:uiPriority w:val="0"/>
    <w:pPr>
      <w:spacing w:line="288" w:lineRule="auto"/>
      <w:ind w:firstLine="420"/>
    </w:pPr>
    <w:rPr>
      <w:rFonts w:ascii="方正书宋简体" w:eastAsia="方正书宋简体"/>
    </w:rPr>
  </w:style>
  <w:style w:type="paragraph" w:styleId="10">
    <w:name w:val="annotation text"/>
    <w:basedOn w:val="1"/>
    <w:link w:val="48"/>
    <w:qFormat/>
    <w:uiPriority w:val="0"/>
    <w:pPr>
      <w:jc w:val="left"/>
    </w:pPr>
  </w:style>
  <w:style w:type="paragraph" w:styleId="11">
    <w:name w:val="Body Text Indent"/>
    <w:basedOn w:val="1"/>
    <w:next w:val="1"/>
    <w:qFormat/>
    <w:uiPriority w:val="0"/>
    <w:pPr>
      <w:ind w:left="420" w:leftChars="200"/>
    </w:pPr>
    <w:rPr>
      <w:rFonts w:ascii="Calibri" w:hAnsi="Calibri" w:eastAsia="宋体" w:cs="Times New Roman"/>
      <w:sz w:val="21"/>
    </w:rPr>
  </w:style>
  <w:style w:type="paragraph" w:styleId="12">
    <w:name w:val="Plain Text"/>
    <w:basedOn w:val="1"/>
    <w:qFormat/>
    <w:uiPriority w:val="0"/>
    <w:rPr>
      <w:rFonts w:ascii="宋体" w:hAnsi="Courier New"/>
    </w:rPr>
  </w:style>
  <w:style w:type="paragraph" w:styleId="13">
    <w:name w:val="footer"/>
    <w:basedOn w:val="1"/>
    <w:link w:val="45"/>
    <w:unhideWhenUsed/>
    <w:qFormat/>
    <w:uiPriority w:val="99"/>
    <w:pPr>
      <w:tabs>
        <w:tab w:val="center" w:pos="4153"/>
        <w:tab w:val="right" w:pos="8306"/>
      </w:tabs>
      <w:snapToGrid w:val="0"/>
      <w:jc w:val="left"/>
    </w:pPr>
    <w:rPr>
      <w:sz w:val="18"/>
      <w:szCs w:val="18"/>
    </w:rPr>
  </w:style>
  <w:style w:type="paragraph" w:styleId="1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style>
  <w:style w:type="paragraph" w:styleId="16">
    <w:name w:val="footnote text"/>
    <w:basedOn w:val="1"/>
    <w:unhideWhenUsed/>
    <w:qFormat/>
    <w:uiPriority w:val="99"/>
    <w:pPr>
      <w:snapToGrid w:val="0"/>
      <w:ind w:firstLine="200"/>
      <w:jc w:val="left"/>
    </w:pPr>
    <w:rPr>
      <w:rFonts w:ascii="Times New Roman" w:hAnsi="Times New Roman" w:cs="Times New Roman"/>
      <w:sz w:val="18"/>
      <w:szCs w:val="18"/>
    </w:rPr>
  </w:style>
  <w:style w:type="paragraph" w:styleId="17">
    <w:name w:val="table of figures"/>
    <w:basedOn w:val="1"/>
    <w:next w:val="1"/>
    <w:unhideWhenUsed/>
    <w:qFormat/>
    <w:uiPriority w:val="99"/>
    <w:pPr>
      <w:ind w:left="200" w:leftChars="200" w:hanging="200" w:hangingChars="200"/>
    </w:pPr>
  </w:style>
  <w:style w:type="paragraph" w:styleId="18">
    <w:name w:val="toc 2"/>
    <w:basedOn w:val="1"/>
    <w:next w:val="1"/>
    <w:qFormat/>
    <w:uiPriority w:val="39"/>
    <w:pPr>
      <w:ind w:left="420" w:leftChars="200"/>
    </w:pPr>
  </w:style>
  <w:style w:type="paragraph" w:styleId="19">
    <w:name w:val="Normal (Web)"/>
    <w:basedOn w:val="1"/>
    <w:unhideWhenUsed/>
    <w:qFormat/>
    <w:uiPriority w:val="99"/>
    <w:pPr>
      <w:jc w:val="left"/>
    </w:pPr>
    <w:rPr>
      <w:rFonts w:eastAsiaTheme="minorEastAsia"/>
      <w:kern w:val="0"/>
      <w:sz w:val="24"/>
      <w:szCs w:val="22"/>
    </w:rPr>
  </w:style>
  <w:style w:type="paragraph" w:styleId="20">
    <w:name w:val="annotation subject"/>
    <w:basedOn w:val="10"/>
    <w:next w:val="10"/>
    <w:link w:val="49"/>
    <w:uiPriority w:val="0"/>
    <w:rPr>
      <w:b/>
      <w:bCs/>
    </w:rPr>
  </w:style>
  <w:style w:type="table" w:styleId="22">
    <w:name w:val="Table Grid"/>
    <w:basedOn w:val="2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page number"/>
    <w:basedOn w:val="23"/>
    <w:uiPriority w:val="0"/>
  </w:style>
  <w:style w:type="character" w:styleId="26">
    <w:name w:val="FollowedHyperlink"/>
    <w:basedOn w:val="23"/>
    <w:qFormat/>
    <w:uiPriority w:val="0"/>
    <w:rPr>
      <w:color w:val="606060"/>
      <w:u w:val="none"/>
    </w:rPr>
  </w:style>
  <w:style w:type="character" w:styleId="27">
    <w:name w:val="Emphasis"/>
    <w:basedOn w:val="23"/>
    <w:qFormat/>
    <w:uiPriority w:val="0"/>
    <w:rPr>
      <w:b/>
      <w:bCs/>
    </w:rPr>
  </w:style>
  <w:style w:type="character" w:styleId="28">
    <w:name w:val="HTML Definition"/>
    <w:basedOn w:val="23"/>
    <w:qFormat/>
    <w:uiPriority w:val="0"/>
  </w:style>
  <w:style w:type="character" w:styleId="29">
    <w:name w:val="HTML Variable"/>
    <w:basedOn w:val="23"/>
    <w:qFormat/>
    <w:uiPriority w:val="0"/>
  </w:style>
  <w:style w:type="character" w:styleId="30">
    <w:name w:val="Hyperlink"/>
    <w:basedOn w:val="23"/>
    <w:qFormat/>
    <w:uiPriority w:val="99"/>
    <w:rPr>
      <w:color w:val="0000FF"/>
      <w:u w:val="single"/>
    </w:rPr>
  </w:style>
  <w:style w:type="character" w:styleId="31">
    <w:name w:val="HTML Code"/>
    <w:basedOn w:val="23"/>
    <w:qFormat/>
    <w:uiPriority w:val="0"/>
    <w:rPr>
      <w:rFonts w:hint="default" w:ascii="Courier New" w:hAnsi="Courier New" w:eastAsia="Courier New" w:cs="Courier New"/>
      <w:sz w:val="20"/>
    </w:rPr>
  </w:style>
  <w:style w:type="character" w:styleId="32">
    <w:name w:val="annotation reference"/>
    <w:basedOn w:val="23"/>
    <w:uiPriority w:val="0"/>
    <w:rPr>
      <w:sz w:val="21"/>
      <w:szCs w:val="21"/>
    </w:rPr>
  </w:style>
  <w:style w:type="character" w:styleId="33">
    <w:name w:val="HTML Cite"/>
    <w:basedOn w:val="23"/>
    <w:qFormat/>
    <w:uiPriority w:val="0"/>
  </w:style>
  <w:style w:type="character" w:styleId="34">
    <w:name w:val="footnote reference"/>
    <w:unhideWhenUsed/>
    <w:qFormat/>
    <w:uiPriority w:val="99"/>
    <w:rPr>
      <w:vertAlign w:val="superscript"/>
    </w:rPr>
  </w:style>
  <w:style w:type="character" w:styleId="35">
    <w:name w:val="HTML Keyboard"/>
    <w:basedOn w:val="23"/>
    <w:qFormat/>
    <w:uiPriority w:val="0"/>
    <w:rPr>
      <w:rFonts w:hint="default" w:ascii="Courier New" w:hAnsi="Courier New" w:eastAsia="Courier New" w:cs="Courier New"/>
      <w:sz w:val="20"/>
    </w:rPr>
  </w:style>
  <w:style w:type="character" w:styleId="36">
    <w:name w:val="HTML Sample"/>
    <w:basedOn w:val="23"/>
    <w:qFormat/>
    <w:uiPriority w:val="0"/>
    <w:rPr>
      <w:rFonts w:ascii="Courier New" w:hAnsi="Courier New" w:eastAsia="Courier New" w:cs="Courier New"/>
    </w:rPr>
  </w:style>
  <w:style w:type="character" w:customStyle="1" w:styleId="37">
    <w:name w:val="标题 3 字符"/>
    <w:link w:val="7"/>
    <w:qFormat/>
    <w:uiPriority w:val="0"/>
    <w:rPr>
      <w:rFonts w:eastAsia="楷体" w:asciiTheme="minorHAnsi" w:hAnsiTheme="minorHAnsi"/>
      <w:b/>
      <w:sz w:val="32"/>
    </w:rPr>
  </w:style>
  <w:style w:type="paragraph" w:customStyle="1" w:styleId="38">
    <w:name w:val="列表段落1"/>
    <w:basedOn w:val="1"/>
    <w:qFormat/>
    <w:uiPriority w:val="34"/>
    <w:pPr>
      <w:ind w:firstLine="420"/>
    </w:pPr>
    <w:rPr>
      <w:rFonts w:eastAsiaTheme="minorEastAsia"/>
      <w:szCs w:val="22"/>
    </w:rPr>
  </w:style>
  <w:style w:type="table" w:customStyle="1" w:styleId="39">
    <w:name w:val="网格型1"/>
    <w:basedOn w:val="2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
    <w:name w:val="网格型4"/>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customStyle="1" w:styleId="41">
    <w:name w:val="on"/>
    <w:basedOn w:val="23"/>
    <w:qFormat/>
    <w:uiPriority w:val="0"/>
    <w:rPr>
      <w:color w:val="FFFFFF"/>
      <w:shd w:val="clear" w:color="auto" w:fill="C7250C"/>
    </w:rPr>
  </w:style>
  <w:style w:type="paragraph" w:customStyle="1" w:styleId="42">
    <w:name w:val="修订1"/>
    <w:hidden/>
    <w:semiHidden/>
    <w:qFormat/>
    <w:uiPriority w:val="99"/>
    <w:rPr>
      <w:rFonts w:eastAsia="仿宋_GB2312" w:asciiTheme="minorHAnsi" w:hAnsiTheme="minorHAnsi" w:cstheme="minorBidi"/>
      <w:color w:val="000000" w:themeColor="text1"/>
      <w:kern w:val="2"/>
      <w:sz w:val="32"/>
      <w:szCs w:val="24"/>
      <w:lang w:val="en-US" w:eastAsia="zh-CN" w:bidi="ar-SA"/>
      <w14:textFill>
        <w14:solidFill>
          <w14:schemeClr w14:val="tx1"/>
        </w14:solidFill>
      </w14:textFill>
    </w:rPr>
  </w:style>
  <w:style w:type="paragraph" w:customStyle="1" w:styleId="43">
    <w:name w:val="修订2"/>
    <w:hidden/>
    <w:semiHidden/>
    <w:qFormat/>
    <w:uiPriority w:val="99"/>
    <w:rPr>
      <w:rFonts w:eastAsia="仿宋_GB2312" w:asciiTheme="minorHAnsi" w:hAnsiTheme="minorHAnsi" w:cstheme="minorBidi"/>
      <w:color w:val="000000" w:themeColor="text1"/>
      <w:kern w:val="2"/>
      <w:sz w:val="32"/>
      <w:szCs w:val="24"/>
      <w:lang w:val="en-US" w:eastAsia="zh-CN" w:bidi="ar-SA"/>
      <w14:textFill>
        <w14:solidFill>
          <w14:schemeClr w14:val="tx1"/>
        </w14:solidFill>
      </w14:textFill>
    </w:rPr>
  </w:style>
  <w:style w:type="paragraph" w:customStyle="1" w:styleId="44">
    <w:name w:val="修订3"/>
    <w:hidden/>
    <w:semiHidden/>
    <w:qFormat/>
    <w:uiPriority w:val="99"/>
    <w:rPr>
      <w:rFonts w:eastAsia="仿宋_GB2312" w:asciiTheme="minorHAnsi" w:hAnsiTheme="minorHAnsi" w:cstheme="minorBidi"/>
      <w:color w:val="000000" w:themeColor="text1"/>
      <w:kern w:val="2"/>
      <w:sz w:val="32"/>
      <w:szCs w:val="24"/>
      <w:lang w:val="en-US" w:eastAsia="zh-CN" w:bidi="ar-SA"/>
      <w14:textFill>
        <w14:solidFill>
          <w14:schemeClr w14:val="tx1"/>
        </w14:solidFill>
      </w14:textFill>
    </w:rPr>
  </w:style>
  <w:style w:type="character" w:customStyle="1" w:styleId="45">
    <w:name w:val="页脚 字符"/>
    <w:basedOn w:val="23"/>
    <w:link w:val="13"/>
    <w:uiPriority w:val="99"/>
    <w:rPr>
      <w:rFonts w:eastAsia="仿宋_GB2312" w:asciiTheme="minorHAnsi" w:hAnsiTheme="minorHAnsi" w:cstheme="minorBidi"/>
      <w:color w:val="000000" w:themeColor="text1"/>
      <w:kern w:val="2"/>
      <w:sz w:val="18"/>
      <w:szCs w:val="18"/>
      <w14:textFill>
        <w14:solidFill>
          <w14:schemeClr w14:val="tx1"/>
        </w14:solidFill>
      </w14:textFill>
    </w:rPr>
  </w:style>
  <w:style w:type="paragraph" w:customStyle="1" w:styleId="46">
    <w:name w:val="修订4"/>
    <w:hidden/>
    <w:semiHidden/>
    <w:qFormat/>
    <w:uiPriority w:val="99"/>
    <w:rPr>
      <w:rFonts w:eastAsia="仿宋_GB2312" w:asciiTheme="minorHAnsi" w:hAnsiTheme="minorHAnsi" w:cstheme="minorBidi"/>
      <w:color w:val="000000" w:themeColor="text1"/>
      <w:kern w:val="2"/>
      <w:sz w:val="32"/>
      <w:szCs w:val="24"/>
      <w:lang w:val="en-US" w:eastAsia="zh-CN" w:bidi="ar-SA"/>
      <w14:textFill>
        <w14:solidFill>
          <w14:schemeClr w14:val="tx1"/>
        </w14:solidFill>
      </w14:textFill>
    </w:rPr>
  </w:style>
  <w:style w:type="paragraph" w:customStyle="1" w:styleId="47">
    <w:name w:val="Revision"/>
    <w:hidden/>
    <w:semiHidden/>
    <w:uiPriority w:val="99"/>
    <w:rPr>
      <w:rFonts w:eastAsia="仿宋_GB2312" w:asciiTheme="minorHAnsi" w:hAnsiTheme="minorHAnsi" w:cstheme="minorBidi"/>
      <w:color w:val="000000" w:themeColor="text1"/>
      <w:kern w:val="2"/>
      <w:sz w:val="32"/>
      <w:szCs w:val="24"/>
      <w:lang w:val="en-US" w:eastAsia="zh-CN" w:bidi="ar-SA"/>
      <w14:textFill>
        <w14:solidFill>
          <w14:schemeClr w14:val="tx1"/>
        </w14:solidFill>
      </w14:textFill>
    </w:rPr>
  </w:style>
  <w:style w:type="character" w:customStyle="1" w:styleId="48">
    <w:name w:val="批注文字 字符"/>
    <w:basedOn w:val="23"/>
    <w:link w:val="10"/>
    <w:uiPriority w:val="0"/>
    <w:rPr>
      <w:rFonts w:eastAsia="仿宋_GB2312" w:asciiTheme="minorHAnsi" w:hAnsiTheme="minorHAnsi" w:cstheme="minorBidi"/>
      <w:color w:val="000000" w:themeColor="text1"/>
      <w:kern w:val="2"/>
      <w:sz w:val="32"/>
      <w:szCs w:val="24"/>
      <w14:textFill>
        <w14:solidFill>
          <w14:schemeClr w14:val="tx1"/>
        </w14:solidFill>
      </w14:textFill>
    </w:rPr>
  </w:style>
  <w:style w:type="character" w:customStyle="1" w:styleId="49">
    <w:name w:val="批注主题 字符"/>
    <w:basedOn w:val="48"/>
    <w:link w:val="20"/>
    <w:uiPriority w:val="0"/>
    <w:rPr>
      <w:rFonts w:eastAsia="仿宋_GB2312" w:asciiTheme="minorHAnsi" w:hAnsiTheme="minorHAnsi" w:cstheme="minorBidi"/>
      <w:b/>
      <w:bCs/>
      <w:color w:val="000000" w:themeColor="text1"/>
      <w:kern w:val="2"/>
      <w:sz w:val="32"/>
      <w:szCs w:val="24"/>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emf"/><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20957</Words>
  <Characters>21297</Characters>
  <Lines>175</Lines>
  <Paragraphs>49</Paragraphs>
  <TotalTime>5</TotalTime>
  <ScaleCrop>false</ScaleCrop>
  <LinksUpToDate>false</LinksUpToDate>
  <CharactersWithSpaces>21411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2022-08-17T09:37:00Z</dcterms:created>
  <dc:creator>WPS_1569854088</dc:creator>
  <cp:lastModifiedBy>龚谦</cp:lastModifiedBy>
  <cp:lastPrinted>2022-06-16T07:37:00Z</cp:lastPrinted>
  <dcterms:modified xsi:type="dcterms:W3CDTF">2022-11-10T08:39:43Z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A64C5FC30F074B4ABFB0D19440DE80FD</vt:lpwstr>
  </property>
</Properties>
</file>