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60" w:lineRule="exact"/>
        <w:ind w:firstLine="0" w:firstLineChars="0"/>
        <w:jc w:val="center"/>
        <w:rPr>
          <w:rFonts w:ascii="方正小标宋简体" w:hAnsi="黑体" w:eastAsia="方正小标宋简体" w:cs="黑体"/>
          <w:color w:val="000000"/>
          <w:spacing w:val="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color w:val="000000"/>
          <w:spacing w:val="20"/>
          <w:sz w:val="44"/>
          <w:szCs w:val="44"/>
        </w:rPr>
        <w:t>武汉经济技术开发区（汉南区）建设工地</w:t>
      </w:r>
    </w:p>
    <w:p>
      <w:pPr>
        <w:pStyle w:val="12"/>
        <w:spacing w:line="560" w:lineRule="exact"/>
        <w:ind w:firstLine="0" w:firstLineChars="0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文明施工</w:t>
      </w:r>
      <w:r>
        <w:rPr>
          <w:rFonts w:hint="eastAsia" w:ascii="方正仿宋简体" w:hAnsi="黑体" w:eastAsia="方正仿宋简体" w:cs="黑体"/>
          <w:color w:val="000000"/>
          <w:sz w:val="44"/>
          <w:szCs w:val="44"/>
        </w:rPr>
        <w:t>“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十优十差</w:t>
      </w:r>
      <w:r>
        <w:rPr>
          <w:rFonts w:hint="eastAsia" w:ascii="方正仿宋简体" w:hAnsi="黑体" w:eastAsia="方正仿宋简体" w:cs="黑体"/>
          <w:color w:val="000000"/>
          <w:sz w:val="44"/>
          <w:szCs w:val="44"/>
        </w:rPr>
        <w:t>”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评选办法（试行）</w:t>
      </w:r>
    </w:p>
    <w:p>
      <w:pPr>
        <w:pStyle w:val="12"/>
        <w:spacing w:line="560" w:lineRule="exact"/>
        <w:ind w:firstLine="640"/>
        <w:rPr>
          <w:rFonts w:ascii="Times New Roman" w:hAnsi="Times New Roman" w:eastAsia="方正仿宋简体" w:cs="方正仿宋简体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为推进全区建设工地环境整治提升工作，按市城乡建设局关于建设工地环境整治提升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六化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标准的要求，现制定本办法。</w:t>
      </w:r>
    </w:p>
    <w:p>
      <w:pPr>
        <w:spacing w:line="560" w:lineRule="exact"/>
        <w:ind w:firstLine="640"/>
        <w:rPr>
          <w:rFonts w:ascii="黑体" w:hAnsi="Times New Roman" w:eastAsia="黑体" w:cs="黑体"/>
          <w:color w:val="000000"/>
          <w:sz w:val="32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</w:rPr>
        <w:t>一、考核目的</w:t>
      </w:r>
    </w:p>
    <w:p>
      <w:pPr>
        <w:pStyle w:val="12"/>
        <w:spacing w:line="56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进一步加强建设工地管理，创新工作机制，树立奖优罚劣导向，充分调动参建各方主体工作积极性，提高全区建设工地整体文明施工水平，助力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  <w:shd w:val="clear" w:color="auto" w:fill="FFFFFF"/>
        </w:rPr>
        <w:t>建设活力、生态、法治和幸福车都。</w:t>
      </w:r>
    </w:p>
    <w:p>
      <w:pPr>
        <w:spacing w:line="560" w:lineRule="exact"/>
        <w:ind w:firstLine="640"/>
        <w:rPr>
          <w:rFonts w:ascii="黑体" w:hAnsi="Times New Roman" w:eastAsia="黑体" w:cs="黑体"/>
          <w:color w:val="000000"/>
          <w:sz w:val="32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</w:rPr>
        <w:t>二、考核对象</w:t>
      </w:r>
    </w:p>
    <w:p>
      <w:pPr>
        <w:spacing w:line="56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武汉经济技术开发区（汉南区）行政区域范围内全部建设项目的参建主体，包括房建、市政、园林、水务、电力、储备、拆除等类型建设工地。</w:t>
      </w:r>
    </w:p>
    <w:p>
      <w:pPr>
        <w:spacing w:line="560" w:lineRule="exact"/>
        <w:ind w:firstLine="640"/>
        <w:rPr>
          <w:rFonts w:ascii="黑体" w:hAnsi="Times New Roman" w:eastAsia="黑体" w:cs="黑体"/>
          <w:color w:val="000000"/>
          <w:sz w:val="32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</w:rPr>
        <w:t>三、考核内容</w:t>
      </w:r>
    </w:p>
    <w:p>
      <w:pPr>
        <w:spacing w:line="56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对标武汉市《工地环境整治提升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六化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管理标准》，结合本区建设工地实际情况，制定《武汉经济技术开发区（汉南区）建设工地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十优十差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检查评分表》（以下简称《评分表》，详见附件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）。</w:t>
      </w:r>
    </w:p>
    <w:p>
      <w:pPr>
        <w:spacing w:line="560" w:lineRule="exact"/>
        <w:ind w:firstLine="640"/>
        <w:rPr>
          <w:rFonts w:ascii="黑体" w:hAnsi="Times New Roman" w:eastAsia="黑体" w:cs="黑体"/>
          <w:color w:val="000000"/>
          <w:sz w:val="32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</w:rPr>
        <w:t>四、考核方式</w:t>
      </w:r>
    </w:p>
    <w:p>
      <w:pPr>
        <w:spacing w:line="56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区城乡建设局牵头组织，各行业主管部门共同参与，引入专业的第三方中介机构，对武汉经济技术开发区（汉南区）建设工地参建主体进行检查考核。具体考核方式如下：</w:t>
      </w:r>
    </w:p>
    <w:p>
      <w:pPr>
        <w:spacing w:line="54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每年度各项目以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12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分作为考核基本分。</w:t>
      </w:r>
    </w:p>
    <w:p>
      <w:pPr>
        <w:spacing w:line="540" w:lineRule="exact"/>
        <w:ind w:firstLine="640"/>
        <w:rPr>
          <w:rFonts w:ascii="方正楷体简体" w:hAnsi="Times New Roman" w:eastAsia="方正楷体简体" w:cs="仿宋"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 w:cs="仿宋"/>
          <w:color w:val="000000"/>
          <w:sz w:val="32"/>
          <w:szCs w:val="32"/>
        </w:rPr>
        <w:t>（一）月度检查</w:t>
      </w:r>
    </w:p>
    <w:p>
      <w:pPr>
        <w:spacing w:line="54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第三方机构每月对全区所有建设工地进行全面检查，依据《评分表》对工地实现量化评分，区城乡建设局对当月检查情况进行月度通报。</w:t>
      </w:r>
    </w:p>
    <w:p>
      <w:pPr>
        <w:spacing w:line="540" w:lineRule="exact"/>
        <w:ind w:firstLine="640"/>
        <w:rPr>
          <w:rFonts w:ascii="方正楷体简体" w:hAnsi="Times New Roman" w:eastAsia="方正楷体简体" w:cs="仿宋"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 w:cs="仿宋"/>
          <w:color w:val="000000"/>
          <w:sz w:val="32"/>
          <w:szCs w:val="32"/>
        </w:rPr>
        <w:t>（二）季度排名</w:t>
      </w:r>
    </w:p>
    <w:p>
      <w:pPr>
        <w:spacing w:line="54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．取建设工地三个月分数的平均分作为季度考评分数，对全区建设工地进行分数排序，实现季度排名，评选出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十优十差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工地。</w:t>
      </w:r>
    </w:p>
    <w:p>
      <w:pPr>
        <w:spacing w:line="54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．每季度评选出的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十优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工地的建设单位、施工单位、监理单位奖励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分；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工地的建设单位、施工单位、监理单位扣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分。</w:t>
      </w:r>
    </w:p>
    <w:p>
      <w:pPr>
        <w:spacing w:line="54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十优十差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工地信息发布后一个月内，第三方机构对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工地整改情况进行复查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回头看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，每项整改不到位扣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分。</w:t>
      </w:r>
    </w:p>
    <w:p>
      <w:pPr>
        <w:spacing w:line="540" w:lineRule="exact"/>
        <w:ind w:firstLine="640"/>
        <w:rPr>
          <w:rFonts w:ascii="方正楷体简体" w:hAnsi="Times New Roman" w:eastAsia="方正楷体简体" w:cs="仿宋"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 w:cs="仿宋"/>
          <w:color w:val="000000"/>
          <w:sz w:val="32"/>
          <w:szCs w:val="32"/>
        </w:rPr>
        <w:t>（三）年度总评</w:t>
      </w:r>
    </w:p>
    <w:p>
      <w:pPr>
        <w:spacing w:line="54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．结合季度排名，月度复查的结果，由区第三方考核单位按照扣分规则进行年度总评；</w:t>
      </w:r>
    </w:p>
    <w:p>
      <w:pPr>
        <w:spacing w:line="54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．区城乡建设局整理并确定全区建设工地年度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十优十差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总排名。</w:t>
      </w:r>
    </w:p>
    <w:p>
      <w:pPr>
        <w:spacing w:line="540" w:lineRule="exact"/>
        <w:ind w:firstLine="640"/>
        <w:rPr>
          <w:rFonts w:ascii="黑体" w:hAnsi="Times New Roman" w:eastAsia="黑体" w:cs="黑体"/>
          <w:color w:val="000000"/>
          <w:sz w:val="32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</w:rPr>
        <w:t>五、奖励与处罚</w:t>
      </w:r>
    </w:p>
    <w:p>
      <w:pPr>
        <w:spacing w:line="540" w:lineRule="exact"/>
        <w:ind w:firstLine="640"/>
        <w:rPr>
          <w:rFonts w:ascii="方正楷体简体" w:hAnsi="Times New Roman" w:eastAsia="方正楷体简体" w:cs="仿宋"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 w:cs="仿宋"/>
          <w:color w:val="000000"/>
          <w:sz w:val="32"/>
          <w:szCs w:val="32"/>
        </w:rPr>
        <w:t>（一）奖励</w:t>
      </w:r>
    </w:p>
    <w:p>
      <w:pPr>
        <w:spacing w:line="54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．评为（季度）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十优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工地的参建单位，区城乡建设局进行通报表彰；</w:t>
      </w:r>
    </w:p>
    <w:p>
      <w:pPr>
        <w:spacing w:line="53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．评为（年度）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十优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工地的参建单位，将优先参评各类奖项评选。</w:t>
      </w:r>
    </w:p>
    <w:p>
      <w:pPr>
        <w:spacing w:line="530" w:lineRule="exact"/>
        <w:ind w:firstLine="640"/>
        <w:rPr>
          <w:rFonts w:ascii="方正楷体简体" w:hAnsi="Times New Roman" w:eastAsia="方正楷体简体" w:cs="仿宋"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 w:cs="仿宋"/>
          <w:color w:val="000000"/>
          <w:sz w:val="32"/>
          <w:szCs w:val="32"/>
        </w:rPr>
        <w:t>（二）处罚</w:t>
      </w:r>
    </w:p>
    <w:p>
      <w:pPr>
        <w:spacing w:line="53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．评为（季度）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工地的参建单位，区城乡建设局将集中约谈，限时整改，同时将评为（季度）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工地的建设单位项目负责人、监理单位项目总监、施工单位项目经理通报到其所在单位。</w:t>
      </w:r>
    </w:p>
    <w:p>
      <w:pPr>
        <w:spacing w:line="53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．评为（年度）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工地的参建单位，取消项目和参建单位在本区范围各种评优资格。</w:t>
      </w:r>
    </w:p>
    <w:p>
      <w:pPr>
        <w:spacing w:line="53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．评为（年度）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工地的参建单位，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个月内限制其在本区范围内相关招投标资格。</w:t>
      </w:r>
    </w:p>
    <w:p>
      <w:pPr>
        <w:spacing w:line="53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．评为（年度）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工地且积分在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分以下（含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分）的参建单位，依据《武汉市建设工程行政处罚自由裁量标准》（武城建规〔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2018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〕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号）各类行政处罚按上限处罚，并对建设单位的处罚录入政府信用平台。</w:t>
      </w:r>
      <w:r>
        <w:rPr>
          <w:rFonts w:hint="eastAsia" w:ascii="Times New Roman" w:hAnsi="Times New Roman" w:eastAsia="方正仿宋简体" w:cs="仿宋"/>
          <w:bCs/>
          <w:color w:val="000000"/>
          <w:sz w:val="32"/>
          <w:szCs w:val="32"/>
        </w:rPr>
        <w:t>除了按上述处罚外，</w:t>
      </w:r>
      <w:r>
        <w:rPr>
          <w:rFonts w:ascii="Times New Roman" w:hAnsi="Times New Roman" w:eastAsia="方正仿宋简体" w:cs="仿宋"/>
          <w:bCs/>
          <w:color w:val="000000"/>
          <w:sz w:val="32"/>
          <w:szCs w:val="32"/>
        </w:rPr>
        <w:t>12</w:t>
      </w:r>
      <w:r>
        <w:rPr>
          <w:rFonts w:hint="eastAsia" w:ascii="Times New Roman" w:hAnsi="Times New Roman" w:eastAsia="方正仿宋简体" w:cs="仿宋"/>
          <w:bCs/>
          <w:color w:val="000000"/>
          <w:sz w:val="32"/>
          <w:szCs w:val="32"/>
        </w:rPr>
        <w:t>个月内限制其在</w:t>
      </w:r>
      <w:r>
        <w:rPr>
          <w:rFonts w:hint="eastAsia" w:ascii="Times New Roman" w:hAnsi="Times New Roman" w:eastAsia="方正仿宋简体" w:cs="仿宋"/>
          <w:bCs/>
          <w:color w:val="000000"/>
          <w:spacing w:val="-6"/>
          <w:sz w:val="32"/>
          <w:szCs w:val="32"/>
        </w:rPr>
        <w:t>本区范围</w:t>
      </w:r>
      <w:r>
        <w:rPr>
          <w:rFonts w:hint="eastAsia" w:ascii="Times New Roman" w:hAnsi="Times New Roman" w:eastAsia="方正仿宋简体" w:cs="仿宋"/>
          <w:color w:val="000000"/>
          <w:spacing w:val="-6"/>
          <w:sz w:val="32"/>
          <w:szCs w:val="32"/>
        </w:rPr>
        <w:t>内相关招投标资格，并将相关情况报送市城乡建设局。</w:t>
      </w:r>
    </w:p>
    <w:p>
      <w:pPr>
        <w:spacing w:line="530" w:lineRule="exact"/>
        <w:ind w:firstLine="640"/>
        <w:rPr>
          <w:rFonts w:ascii="方正楷体简体" w:hAnsi="Times New Roman" w:eastAsia="方正楷体简体" w:cs="仿宋"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 w:cs="仿宋"/>
          <w:color w:val="000000"/>
          <w:sz w:val="32"/>
          <w:szCs w:val="32"/>
        </w:rPr>
        <w:t>（三）其他</w:t>
      </w:r>
    </w:p>
    <w:p>
      <w:pPr>
        <w:spacing w:line="53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．发生亡人事故的项目不参评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十优工地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。</w:t>
      </w:r>
    </w:p>
    <w:p>
      <w:pPr>
        <w:spacing w:line="53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．季度考评分在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90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分（含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90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分）以下的工地，不参评（季度）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十优工地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；年度积分在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12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分（含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12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分）以下的工地，不参评（年度）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十优工地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。</w:t>
      </w:r>
    </w:p>
    <w:p>
      <w:pPr>
        <w:spacing w:line="53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ascii="Times New Roman" w:hAnsi="Times New Roman" w:eastAsia="方正仿宋简体" w:cs="仿宋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．季度考评分在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80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分（含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80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分）以上的工地，不列入（季度）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十差工地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；年度积分在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9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分（含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9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分）以上的工地，不列入（年度）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十差工地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Times New Roman" w:eastAsia="黑体" w:cs="仿宋"/>
          <w:color w:val="000000"/>
          <w:sz w:val="32"/>
          <w:szCs w:val="32"/>
        </w:rPr>
      </w:pPr>
      <w:r>
        <w:rPr>
          <w:rFonts w:hint="eastAsia" w:ascii="黑体" w:hAnsi="Times New Roman" w:eastAsia="黑体" w:cs="仿宋"/>
          <w:color w:val="000000"/>
          <w:sz w:val="32"/>
          <w:szCs w:val="32"/>
        </w:rPr>
        <w:t>第三方考评相关纪律要求</w:t>
      </w:r>
    </w:p>
    <w:p>
      <w:pPr>
        <w:spacing w:line="56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第三方考评机构必须严格执行考评办法，考评要公开、公平、公正。如发现不公正行为或接受被检工地的宴请、礼品、礼金等，一经查实，区城乡建设局将立即与第三方解除合同，并对其进行处罚；对拉拢勾结第三方考评机构的工地直接列入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工地。</w:t>
      </w:r>
    </w:p>
    <w:p>
      <w:pPr>
        <w:spacing w:line="560" w:lineRule="exact"/>
        <w:ind w:firstLine="640"/>
        <w:rPr>
          <w:rFonts w:ascii="黑体" w:hAnsi="Times New Roman" w:eastAsia="黑体" w:cs="仿宋"/>
          <w:color w:val="000000"/>
          <w:sz w:val="32"/>
          <w:szCs w:val="32"/>
        </w:rPr>
      </w:pPr>
      <w:r>
        <w:rPr>
          <w:rFonts w:hint="eastAsia" w:ascii="黑体" w:hAnsi="Times New Roman" w:eastAsia="黑体" w:cs="仿宋"/>
          <w:color w:val="000000"/>
          <w:sz w:val="32"/>
          <w:szCs w:val="32"/>
        </w:rPr>
        <w:t>七、申诉及其他</w:t>
      </w:r>
    </w:p>
    <w:p>
      <w:pPr>
        <w:spacing w:line="560" w:lineRule="exact"/>
        <w:ind w:firstLine="640"/>
        <w:rPr>
          <w:rFonts w:ascii="方正楷体简体" w:hAnsi="Times New Roman" w:eastAsia="方正楷体简体" w:cs="仿宋"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 w:cs="仿宋"/>
          <w:color w:val="000000"/>
          <w:sz w:val="32"/>
          <w:szCs w:val="32"/>
        </w:rPr>
        <w:t>（一）申诉程序</w:t>
      </w:r>
    </w:p>
    <w:p>
      <w:pPr>
        <w:spacing w:line="560" w:lineRule="exact"/>
        <w:ind w:firstLine="640"/>
        <w:rPr>
          <w:rFonts w:ascii="Times New Roman" w:hAnsi="Times New Roman" w:eastAsia="方正仿宋简体" w:cs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评为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十差</w:t>
      </w:r>
      <w:r>
        <w:rPr>
          <w:rFonts w:hint="eastAsia" w:ascii="方正仿宋简体" w:hAnsi="Times New Roman" w:eastAsia="方正仿宋简体" w:cs="仿宋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工地的参建单位如对考评结果有异议，可于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个工作日内向区城乡建设局提出申诉，区城乡建设局会同相关主管部门在</w:t>
      </w:r>
      <w:r>
        <w:rPr>
          <w:rFonts w:ascii="Times New Roman" w:hAnsi="Times New Roman" w:eastAsia="方正仿宋简体" w:cs="仿宋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简体" w:cs="仿宋"/>
          <w:color w:val="000000"/>
          <w:sz w:val="32"/>
          <w:szCs w:val="32"/>
        </w:rPr>
        <w:t>个工作日内进行申诉结果回复。</w:t>
      </w:r>
    </w:p>
    <w:p>
      <w:pPr>
        <w:spacing w:line="560" w:lineRule="exact"/>
        <w:ind w:firstLine="640"/>
        <w:rPr>
          <w:rFonts w:ascii="方正楷体简体" w:hAnsi="Times New Roman" w:eastAsia="方正楷体简体" w:cs="仿宋"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 w:cs="仿宋"/>
          <w:color w:val="000000"/>
          <w:sz w:val="32"/>
          <w:szCs w:val="32"/>
        </w:rPr>
        <w:t>（二）本考核办法由武汉经济技术开发区（汉南区）城乡建设局负责解释和补充修订。</w:t>
      </w:r>
    </w:p>
    <w:p>
      <w:pPr>
        <w:spacing w:line="560" w:lineRule="exact"/>
        <w:ind w:firstLine="640"/>
        <w:rPr>
          <w:rFonts w:ascii="方正楷体简体" w:hAnsi="Times New Roman" w:eastAsia="方正楷体简体" w:cs="仿宋"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 w:cs="仿宋"/>
          <w:color w:val="000000"/>
          <w:sz w:val="32"/>
          <w:szCs w:val="32"/>
        </w:rPr>
        <w:t>（三）本考核办法自发文之日起施行。</w:t>
      </w:r>
    </w:p>
    <w:p>
      <w:pPr>
        <w:ind w:firstLine="640"/>
        <w:rPr>
          <w:rFonts w:cs="仿宋"/>
          <w:color w:val="000000"/>
          <w:sz w:val="32"/>
          <w:szCs w:val="32"/>
        </w:rPr>
      </w:pPr>
    </w:p>
    <w:p>
      <w:pPr>
        <w:ind w:firstLine="640"/>
        <w:rPr>
          <w:rFonts w:cs="仿宋"/>
          <w:color w:val="000000"/>
          <w:sz w:val="32"/>
          <w:szCs w:val="32"/>
        </w:rPr>
      </w:pPr>
    </w:p>
    <w:p>
      <w:pPr>
        <w:ind w:firstLine="640"/>
        <w:rPr>
          <w:rFonts w:cs="仿宋"/>
          <w:color w:val="000000"/>
          <w:sz w:val="32"/>
          <w:szCs w:val="32"/>
        </w:rPr>
      </w:pPr>
    </w:p>
    <w:p>
      <w:pPr>
        <w:ind w:firstLine="640"/>
        <w:rPr>
          <w:rFonts w:cs="仿宋"/>
          <w:color w:val="000000"/>
          <w:sz w:val="32"/>
          <w:szCs w:val="32"/>
        </w:rPr>
      </w:pPr>
    </w:p>
    <w:p>
      <w:pPr>
        <w:ind w:firstLine="420"/>
        <w:rPr>
          <w:color w:val="000000"/>
        </w:rPr>
      </w:pPr>
    </w:p>
    <w:p>
      <w:pPr>
        <w:ind w:firstLine="420"/>
        <w:rPr>
          <w:color w:val="000000"/>
        </w:rPr>
      </w:pPr>
    </w:p>
    <w:p>
      <w:pPr>
        <w:ind w:firstLine="562"/>
        <w:rPr>
          <w:b/>
          <w:bCs/>
          <w:color w:val="000000"/>
          <w:sz w:val="28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31" w:header="737" w:footer="1474" w:gutter="0"/>
          <w:cols w:space="720" w:num="1"/>
          <w:docGrid w:type="lines" w:linePitch="312" w:charSpace="0"/>
        </w:sectPr>
      </w:pPr>
    </w:p>
    <w:p>
      <w:pPr>
        <w:ind w:firstLine="0" w:firstLineChars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1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武汉经济技术开发区（汉南区）建设工地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仿宋简体" w:eastAsia="方正仿宋简体"/>
          <w:color w:val="000000"/>
          <w:sz w:val="44"/>
          <w:szCs w:val="44"/>
        </w:rPr>
        <w:t>“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十优十差</w:t>
      </w:r>
      <w:r>
        <w:rPr>
          <w:rFonts w:hint="eastAsia" w:ascii="方正仿宋简体" w:eastAsia="方正仿宋简体"/>
          <w:color w:val="000000"/>
          <w:sz w:val="44"/>
          <w:szCs w:val="44"/>
        </w:rPr>
        <w:t>”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检查评分表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6"/>
        <w:tblW w:w="10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09"/>
        <w:gridCol w:w="840"/>
        <w:gridCol w:w="2012"/>
        <w:gridCol w:w="1711"/>
        <w:gridCol w:w="2157"/>
        <w:gridCol w:w="945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09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考评项目</w:t>
            </w:r>
          </w:p>
        </w:tc>
        <w:tc>
          <w:tcPr>
            <w:tcW w:w="840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总分分值</w:t>
            </w:r>
          </w:p>
        </w:tc>
        <w:tc>
          <w:tcPr>
            <w:tcW w:w="2012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考评标准</w:t>
            </w:r>
          </w:p>
        </w:tc>
        <w:tc>
          <w:tcPr>
            <w:tcW w:w="386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扣分标准</w:t>
            </w:r>
          </w:p>
        </w:tc>
        <w:tc>
          <w:tcPr>
            <w:tcW w:w="945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实扣分</w:t>
            </w:r>
          </w:p>
        </w:tc>
        <w:tc>
          <w:tcPr>
            <w:tcW w:w="1081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" w:type="dxa"/>
            <w:vMerge w:val="restart"/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管理措施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12" w:type="dxa"/>
            <w:vMerge w:val="restart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工程项目应制定有针对性的施工扬尘防治专项方案，并组织实施；工程项目每天进行扬尘防治自查自纠，项目参建三方每周开展扬尘防治专项检查，施工企业每月对扬尘防治标准化实施情况进行验收。</w:t>
            </w:r>
          </w:p>
        </w:tc>
        <w:tc>
          <w:tcPr>
            <w:tcW w:w="3868" w:type="dxa"/>
            <w:gridSpan w:val="2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施工企业未编制施工扬尘防治专项方案扣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工程项目、项目参建三方未按规定定期进行检查的扣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分，缺少检查记录的每次扣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施工企业未对项目扬尘治理标准化实施验收的，扣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分，缺少检查记录的每次扣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施工现场未建立扬尘防治管理档案的扣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未向社会公开信息，工地大门围档醒目处未悬挂</w:t>
            </w:r>
            <w:r>
              <w:rPr>
                <w:rFonts w:hint="eastAsia" w:ascii="方正仿宋简体" w:hAnsi="Times New Roman" w:eastAsia="方正仿宋简体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施工扬尘防治公示牌</w:t>
            </w:r>
            <w:r>
              <w:rPr>
                <w:rFonts w:hint="eastAsia" w:ascii="方正仿宋简体" w:hAnsi="Times New Roman" w:eastAsia="方正仿宋简体"/>
                <w:color w:val="000000"/>
                <w:sz w:val="24"/>
                <w:szCs w:val="24"/>
              </w:rPr>
              <w:t>”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分。公示牌内容不全扣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2" w:type="dxa"/>
            <w:vMerge w:val="restart"/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施工围挡标准化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12" w:type="dxa"/>
            <w:vMerge w:val="restart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、建筑工地应按标准对施工边界进行封闭打围；贯彻执行《武汉市建设工程施工边界设置技术标准（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2018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版）》；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、工地出入口应加强门禁管理。</w:t>
            </w: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建筑及市政工程工地均应封闭打围作业，未实施封闭打围的扣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围挡选型及主体结构不符合新标准要求的扣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军运会重要保障线路工程项目，应采用大型人工绿植围挡（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A1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型）进行边界设置。未按标准实施扣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分，部分实施扣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未按标准设置围挡辅助设施的，每缺一项扣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vMerge w:val="restart"/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施工围挡标准化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12" w:type="dxa"/>
            <w:vMerge w:val="restart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、建筑工地应按标准对施工边界进行封闭打围；贯彻执行《武汉市建设工程施工边界设置技术标准（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2018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版）》；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、工地出入口应加强门禁管理。</w:t>
            </w: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围挡高度不符合标准的每处扣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分。如全线不达标扣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围档不稳定、不牢固、封闭不全的每处（边）扣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围挡脏污每处扣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分；明显破损的每处扣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围挡随意开口供车辆出入的，每处扣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未按</w:t>
            </w:r>
            <w:r>
              <w:rPr>
                <w:rFonts w:hint="eastAsia" w:ascii="Times New Roman" w:hAnsi="宋体" w:eastAsia="宋体"/>
                <w:color w:val="000000"/>
                <w:spacing w:val="-6"/>
                <w:sz w:val="24"/>
                <w:szCs w:val="24"/>
              </w:rPr>
              <w:t>标准设置出入门的扣</w:t>
            </w:r>
            <w:r>
              <w:rPr>
                <w:rFonts w:ascii="Times New Roman" w:hAnsi="Times New Roman" w:eastAsia="宋体"/>
                <w:color w:val="000000"/>
                <w:spacing w:val="-6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pacing w:val="-6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无</w:t>
            </w:r>
            <w:r>
              <w:rPr>
                <w:rFonts w:hint="eastAsia" w:ascii="Times New Roman" w:hAnsi="宋体" w:eastAsia="宋体"/>
                <w:color w:val="000000"/>
                <w:spacing w:val="-6"/>
                <w:sz w:val="24"/>
                <w:szCs w:val="24"/>
              </w:rPr>
              <w:t>门禁管理或管理不严扣</w:t>
            </w:r>
            <w:r>
              <w:rPr>
                <w:rFonts w:ascii="Times New Roman" w:hAnsi="Times New Roman" w:eastAsia="宋体"/>
                <w:color w:val="000000"/>
                <w:spacing w:val="-6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pacing w:val="-6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712" w:type="dxa"/>
            <w:vMerge w:val="restart"/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场区道路全硬化</w:t>
            </w:r>
          </w:p>
        </w:tc>
        <w:tc>
          <w:tcPr>
            <w:tcW w:w="840" w:type="dxa"/>
            <w:vMerge w:val="restart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2" w:type="dxa"/>
            <w:vMerge w:val="restart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工地进出道口和场区通行道路，应采取符合标准的砼硬化（强度不小于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C25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，厚度不小于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220mm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并及时对破损道口及路面进行修复和维护。针对场地受限的工地应在有限的道口场内实施全硬化。</w:t>
            </w: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施工现场主要进出道口和场内道路未硬化的扣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分。进出道口向内延伸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米的（场地受限除外）路面未按规定全部硬化（低于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50%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）的，扣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分，大部分路面未硬化（等于或大于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50%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）的，扣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施工场地主要道口、道路未按规定材质进行硬化的，每个道口、道路扣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未及时对进出道口、场内道路破损路面进行修复和维护的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每处扣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生活区、办公区，材料加工、堆放区未进行硬化或绿化，每处扣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712" w:type="dxa"/>
            <w:vMerge w:val="restart"/>
            <w:shd w:val="clear" w:color="000000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冲洗设施自动化</w:t>
            </w:r>
          </w:p>
        </w:tc>
        <w:tc>
          <w:tcPr>
            <w:tcW w:w="840" w:type="dxa"/>
            <w:vMerge w:val="restart"/>
            <w:shd w:val="clear" w:color="000000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12" w:type="dxa"/>
            <w:vMerge w:val="restart"/>
            <w:shd w:val="clear" w:color="000000" w:fill="FFFFFF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、出土工地应按规定配备冲洗保洁员、车辆检查员和扬尘治理监督员，并到岗值守。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、车辆进出口设置三级冲洗设施，即冲洗槽（冲洗平台）或自动冲洗设备和沉淀池（排水沟）、洗轮机、高压水枪等设施。设置沉淀和排水设施，防止污水外溢。</w:t>
            </w:r>
          </w:p>
          <w:p>
            <w:pPr>
              <w:spacing w:line="320" w:lineRule="exact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、出场车辆应冲洗干净后驶离工地，禁止车辆带泥上路。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、出土阶段应配备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人及以上专职保洁员，负责车辆冲洗。</w:t>
            </w: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用于土方、废料运输的工地进出道口，未设置冲洗设备设施的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分。冲洗设施不规范、无法使用的扣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12" w:type="dxa"/>
            <w:vMerge w:val="continue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未设置出土保洁管理</w:t>
            </w:r>
            <w:r>
              <w:rPr>
                <w:rFonts w:hint="eastAsia" w:ascii="方正仿宋简体" w:hAnsi="Times New Roman" w:eastAsia="方正仿宋简体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三大员</w:t>
            </w:r>
            <w:r>
              <w:rPr>
                <w:rFonts w:hint="eastAsia" w:ascii="方正仿宋简体" w:hAnsi="Times New Roman" w:eastAsia="方正仿宋简体"/>
                <w:color w:val="000000"/>
                <w:sz w:val="24"/>
                <w:szCs w:val="24"/>
              </w:rPr>
              <w:t>”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的，扣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分；岗位人员不足的每人扣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渣土运输车辆未经冲洗保洁，径直出门的扣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车辆带泥上路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造成门前及周边道路（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米以内）泥土、泥浆的扣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分；造成门前及周边道路（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米以内）泥土、泥浆的扣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未设置道口止水槽、场内排水沟，造成泥水漫溢的扣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有条件的工地未设置污水沉淀设施的扣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冲洗区域灯光照明不充足的扣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71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裸露场地覆盖化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工地非作业区域的裸土应采用密目网（防尘网）进行全覆盖，或者采用简易植物绿化覆盖。</w:t>
            </w: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施工现场内非作业区暂时集中堆放的裸露土方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堆放超过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小时不扰动的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应采用密封式绿色防尘网进行遮盖。在建工程施工现场对非施工作业区裸土、建筑垃圾废料、场地裸露地面未采取任何措施进行覆盖、植绿的（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100%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未覆盖），扣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分；现场裸土大面积未覆盖的（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50%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及以上未覆盖）扣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分；现场裸土小面积未覆盖的（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50%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以下未覆盖）扣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9" w:type="dxa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裸露场地覆盖化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2" w:type="dxa"/>
            <w:vMerge w:val="restart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工地非作业区域的裸土应采用密目网（防尘网）进行全覆盖，或者采用简易植物绿化覆盖。</w:t>
            </w: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闲置或者停工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个月以上的工地，应当对其裸露泥地进行临时绿化防尘措施，裸土覆盖、固化或绿化处置率达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90%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以上。堆放在施工现场的工程材料、砂石、土方等易产生扬尘的物料以及无法在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48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小时内清运完毕的建筑垃圾，应当采取围挡、遮盖等抑尘措施。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48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小时内未及时覆盖或清运扣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施工现场未按规定划定泥浆池、土方晾晒区的，扣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分；无泥浆及晾晒标识牌的每处扣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9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过程管理常态化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12" w:type="dxa"/>
            <w:vMerge w:val="restart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场内及主要道口无清扫保洁，存在积水、积灰、泥浆、泥块、垃圾等污染路面的，扣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分；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现场未按规范要求清运建筑垃圾或废料，大量堆积存放的，扣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工地周边和道口外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米范围内有施工污水、泥浆、泥块、浮土污染道路的，扣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工地周边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米范围内存在明显因施工导致的道路破损，每处扣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现场材料堆放凌乱，水泥石灰等粉尘材料未入库存放或严密遮盖的，扣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脚手架立面密目网脏污、张挂不整齐的，每处扣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现场凌空抛洒废弃物、焚烧建筑垃圾的，扣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9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降尘处理喷淋化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、建筑物、构筑物内的建筑垃圾应当采取相应容器或者管道清运，严禁凌空抛洒。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、施工现场应安装配备喷洒水降尘设施，并根据现场情况实时降尘喷洒。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、鼓励信息化喷淋</w:t>
            </w:r>
            <w:r>
              <w:rPr>
                <w:rFonts w:hint="eastAsia" w:ascii="Times New Roman" w:hAnsi="宋体" w:eastAsia="宋体"/>
                <w:color w:val="000000"/>
                <w:spacing w:val="-6"/>
                <w:sz w:val="24"/>
                <w:szCs w:val="24"/>
              </w:rPr>
              <w:t>降尘措施运用。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、破除作业应采取有效的防尘降尘措施。</w:t>
            </w: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破除作业及废料、渣土转运时，未按湿法作业要求进行洒水降尘的扣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施工现场未按照规定安装喷洒降尘设施的扣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未根据现场情况，进行洒水降尘的（雨雪、霜冻天气除外），扣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未落实武汉市建设工程大气污染应急响应指令，未按相应级别停止土石方工程施工及室外露天作业的扣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风力达到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级（含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级）以上，未停止破除作业的扣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45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000000" w:fill="FFFFFF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3868" w:type="dxa"/>
            <w:gridSpan w:val="2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746" w:type="dxa"/>
            <w:gridSpan w:val="6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、检查得分计算：总分值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=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各单项得分之和。单项累计扣分不超过其总分。</w:t>
            </w:r>
          </w:p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、遇有缺项时的得分值：总分值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=(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实查单项应得分值之和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实查单项应得满分之和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)×100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。</w:t>
            </w:r>
          </w:p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、本表格用于项目、企业自查，及第三方机构检查考评时填写。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6084" w:type="dxa"/>
            <w:gridSpan w:val="5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检查人员：</w:t>
            </w:r>
          </w:p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检查单位（盖章）：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4183" w:type="dxa"/>
            <w:gridSpan w:val="3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</w:rPr>
              <w:t>检查时间：</w:t>
            </w:r>
          </w:p>
        </w:tc>
      </w:tr>
    </w:tbl>
    <w:p>
      <w:pPr>
        <w:spacing w:line="560" w:lineRule="exact"/>
        <w:ind w:firstLine="0" w:firstLineChars="0"/>
        <w:textAlignment w:val="center"/>
        <w:rPr>
          <w:rFonts w:ascii="Times New Roman" w:hAnsi="Times New Roman" w:eastAsia="方正仿宋简体"/>
          <w:color w:val="000000"/>
          <w:sz w:val="32"/>
          <w:szCs w:val="32"/>
        </w:rPr>
      </w:pPr>
    </w:p>
    <w:sectPr>
      <w:pgSz w:w="11906" w:h="16838"/>
      <w:pgMar w:top="2098" w:right="1474" w:bottom="1985" w:left="1531" w:header="737" w:footer="1474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10" w:rightChars="100" w:firstLine="198" w:firstLineChars="71"/>
      <w:rPr>
        <w:rStyle w:val="8"/>
        <w:rFonts w:ascii="Times New Roman" w:hAnsi="Times New Roman"/>
        <w:sz w:val="28"/>
        <w:szCs w:val="28"/>
      </w:rPr>
    </w:pPr>
    <w:r>
      <w:rPr>
        <w:rStyle w:val="8"/>
        <w:rFonts w:ascii="Times New Roman" w:hAnsi="Times New Roman"/>
        <w:sz w:val="28"/>
        <w:szCs w:val="28"/>
      </w:rPr>
      <w:t xml:space="preserve">— </w:t>
    </w:r>
    <w:r>
      <w:rPr>
        <w:rStyle w:val="8"/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Style w:val="8"/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2</w:t>
    </w:r>
    <w:r>
      <w:rPr>
        <w:rStyle w:val="8"/>
        <w:rFonts w:ascii="Times New Roman" w:hAnsi="Times New Roman"/>
        <w:sz w:val="28"/>
        <w:szCs w:val="28"/>
      </w:rPr>
      <w:fldChar w:fldCharType="end"/>
    </w:r>
    <w:r>
      <w:rPr>
        <w:rStyle w:val="8"/>
        <w:rFonts w:ascii="Times New Roman" w:hAnsi="Times New Roman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36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2F268"/>
    <w:multiLevelType w:val="singleLevel"/>
    <w:tmpl w:val="1B32F268"/>
    <w:lvl w:ilvl="0" w:tentative="0">
      <w:start w:val="6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C8"/>
    <w:rsid w:val="0001115F"/>
    <w:rsid w:val="00024AF3"/>
    <w:rsid w:val="00037011"/>
    <w:rsid w:val="00037D69"/>
    <w:rsid w:val="000651FA"/>
    <w:rsid w:val="00067C27"/>
    <w:rsid w:val="000A1A51"/>
    <w:rsid w:val="000C7853"/>
    <w:rsid w:val="000C7916"/>
    <w:rsid w:val="000F020C"/>
    <w:rsid w:val="001010EC"/>
    <w:rsid w:val="001031D1"/>
    <w:rsid w:val="00112981"/>
    <w:rsid w:val="00114DE5"/>
    <w:rsid w:val="00125D1D"/>
    <w:rsid w:val="00141EDD"/>
    <w:rsid w:val="001439BE"/>
    <w:rsid w:val="00152904"/>
    <w:rsid w:val="0015523E"/>
    <w:rsid w:val="001565C1"/>
    <w:rsid w:val="0016536A"/>
    <w:rsid w:val="001C0248"/>
    <w:rsid w:val="001F1114"/>
    <w:rsid w:val="00206F8D"/>
    <w:rsid w:val="002330D2"/>
    <w:rsid w:val="00241041"/>
    <w:rsid w:val="002B0B7C"/>
    <w:rsid w:val="002E097E"/>
    <w:rsid w:val="002E3BBB"/>
    <w:rsid w:val="002E6FE0"/>
    <w:rsid w:val="0030647C"/>
    <w:rsid w:val="00332539"/>
    <w:rsid w:val="00334528"/>
    <w:rsid w:val="003362A7"/>
    <w:rsid w:val="0035307B"/>
    <w:rsid w:val="00361157"/>
    <w:rsid w:val="00361396"/>
    <w:rsid w:val="00382431"/>
    <w:rsid w:val="003834BC"/>
    <w:rsid w:val="003923C6"/>
    <w:rsid w:val="003B02E8"/>
    <w:rsid w:val="003B1458"/>
    <w:rsid w:val="003B4947"/>
    <w:rsid w:val="003D33A1"/>
    <w:rsid w:val="004043CF"/>
    <w:rsid w:val="0040510E"/>
    <w:rsid w:val="004208A5"/>
    <w:rsid w:val="004412C5"/>
    <w:rsid w:val="004640AC"/>
    <w:rsid w:val="004C54E6"/>
    <w:rsid w:val="004D032F"/>
    <w:rsid w:val="004D0C25"/>
    <w:rsid w:val="004D5CDF"/>
    <w:rsid w:val="00501364"/>
    <w:rsid w:val="00530AE7"/>
    <w:rsid w:val="00533854"/>
    <w:rsid w:val="00536868"/>
    <w:rsid w:val="005453FE"/>
    <w:rsid w:val="00577761"/>
    <w:rsid w:val="00582015"/>
    <w:rsid w:val="00594731"/>
    <w:rsid w:val="005A0050"/>
    <w:rsid w:val="005C0D29"/>
    <w:rsid w:val="005D4CF2"/>
    <w:rsid w:val="005E0229"/>
    <w:rsid w:val="005F7FBA"/>
    <w:rsid w:val="00610B0E"/>
    <w:rsid w:val="00653E6C"/>
    <w:rsid w:val="0066591E"/>
    <w:rsid w:val="00665B51"/>
    <w:rsid w:val="00682A90"/>
    <w:rsid w:val="00685B75"/>
    <w:rsid w:val="006A01D3"/>
    <w:rsid w:val="006B7264"/>
    <w:rsid w:val="006C5D7C"/>
    <w:rsid w:val="00743F32"/>
    <w:rsid w:val="0074427D"/>
    <w:rsid w:val="007447B1"/>
    <w:rsid w:val="00762FE7"/>
    <w:rsid w:val="007770D6"/>
    <w:rsid w:val="00780E7D"/>
    <w:rsid w:val="00797530"/>
    <w:rsid w:val="007A00D9"/>
    <w:rsid w:val="007C21C3"/>
    <w:rsid w:val="007E75BE"/>
    <w:rsid w:val="0083610F"/>
    <w:rsid w:val="008366BF"/>
    <w:rsid w:val="0085321F"/>
    <w:rsid w:val="008A61D5"/>
    <w:rsid w:val="008C4497"/>
    <w:rsid w:val="008C4966"/>
    <w:rsid w:val="008D0A77"/>
    <w:rsid w:val="00907832"/>
    <w:rsid w:val="00915A4D"/>
    <w:rsid w:val="00931CF4"/>
    <w:rsid w:val="0095480F"/>
    <w:rsid w:val="009657BE"/>
    <w:rsid w:val="00967C04"/>
    <w:rsid w:val="00971FBD"/>
    <w:rsid w:val="009A0DD8"/>
    <w:rsid w:val="009D463D"/>
    <w:rsid w:val="00A06C84"/>
    <w:rsid w:val="00A12720"/>
    <w:rsid w:val="00A424BB"/>
    <w:rsid w:val="00A43643"/>
    <w:rsid w:val="00A62509"/>
    <w:rsid w:val="00A71BC2"/>
    <w:rsid w:val="00A862CA"/>
    <w:rsid w:val="00A91352"/>
    <w:rsid w:val="00A92EE8"/>
    <w:rsid w:val="00AB024E"/>
    <w:rsid w:val="00AB08E1"/>
    <w:rsid w:val="00AC69EF"/>
    <w:rsid w:val="00AF4DF6"/>
    <w:rsid w:val="00B54B53"/>
    <w:rsid w:val="00B73626"/>
    <w:rsid w:val="00B75A3E"/>
    <w:rsid w:val="00B916DE"/>
    <w:rsid w:val="00B950EB"/>
    <w:rsid w:val="00B97549"/>
    <w:rsid w:val="00BD3F69"/>
    <w:rsid w:val="00BD7913"/>
    <w:rsid w:val="00BD799D"/>
    <w:rsid w:val="00BE6433"/>
    <w:rsid w:val="00BF2FC8"/>
    <w:rsid w:val="00BF5DD5"/>
    <w:rsid w:val="00C0763C"/>
    <w:rsid w:val="00C07EBD"/>
    <w:rsid w:val="00C24DCB"/>
    <w:rsid w:val="00C3302E"/>
    <w:rsid w:val="00C33335"/>
    <w:rsid w:val="00C33C7B"/>
    <w:rsid w:val="00C551E9"/>
    <w:rsid w:val="00C55839"/>
    <w:rsid w:val="00C81FF0"/>
    <w:rsid w:val="00CC297A"/>
    <w:rsid w:val="00CC62D7"/>
    <w:rsid w:val="00CE7A42"/>
    <w:rsid w:val="00D13F5E"/>
    <w:rsid w:val="00D2368B"/>
    <w:rsid w:val="00D23F98"/>
    <w:rsid w:val="00D255AE"/>
    <w:rsid w:val="00D27455"/>
    <w:rsid w:val="00D400CA"/>
    <w:rsid w:val="00D535B0"/>
    <w:rsid w:val="00D75187"/>
    <w:rsid w:val="00D819EA"/>
    <w:rsid w:val="00DC3637"/>
    <w:rsid w:val="00DE0B28"/>
    <w:rsid w:val="00DF1B6B"/>
    <w:rsid w:val="00E10E0C"/>
    <w:rsid w:val="00E1195F"/>
    <w:rsid w:val="00E2377F"/>
    <w:rsid w:val="00E37E6C"/>
    <w:rsid w:val="00E82F88"/>
    <w:rsid w:val="00EA16F2"/>
    <w:rsid w:val="00EA1F1C"/>
    <w:rsid w:val="00EE10FD"/>
    <w:rsid w:val="00EE5B91"/>
    <w:rsid w:val="00F054FA"/>
    <w:rsid w:val="00F06A6D"/>
    <w:rsid w:val="00F62F65"/>
    <w:rsid w:val="00F93607"/>
    <w:rsid w:val="00F93F62"/>
    <w:rsid w:val="00F94AEF"/>
    <w:rsid w:val="00FB0DAD"/>
    <w:rsid w:val="00FB4173"/>
    <w:rsid w:val="00FB4509"/>
    <w:rsid w:val="00FE2B04"/>
    <w:rsid w:val="01D55A3E"/>
    <w:rsid w:val="38936BBC"/>
    <w:rsid w:val="3FB34964"/>
    <w:rsid w:val="42C14A56"/>
    <w:rsid w:val="46875AA2"/>
    <w:rsid w:val="61C22AEA"/>
    <w:rsid w:val="630152E7"/>
    <w:rsid w:val="6FE2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" w:cs="Times New Roman"/>
      <w:kern w:val="20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批注框文本 Char"/>
    <w:basedOn w:val="7"/>
    <w:link w:val="2"/>
    <w:semiHidden/>
    <w:locked/>
    <w:uiPriority w:val="99"/>
    <w:rPr>
      <w:rFonts w:cs="Times New Roman"/>
      <w:kern w:val="20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kern w:val="20"/>
      <w:sz w:val="18"/>
      <w:szCs w:val="18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0"/>
      <w:sz w:val="18"/>
      <w:szCs w:val="18"/>
    </w:rPr>
  </w:style>
  <w:style w:type="paragraph" w:customStyle="1" w:styleId="12">
    <w:name w:val="List Paragraph1"/>
    <w:basedOn w:val="1"/>
    <w:uiPriority w:val="99"/>
    <w:pPr>
      <w:ind w:firstLine="420"/>
    </w:pPr>
  </w:style>
  <w:style w:type="paragraph" w:customStyle="1" w:styleId="13">
    <w:name w:val="p0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674</Words>
  <Characters>3845</Characters>
  <Lines>32</Lines>
  <Paragraphs>9</Paragraphs>
  <TotalTime>27</TotalTime>
  <ScaleCrop>false</ScaleCrop>
  <LinksUpToDate>false</LinksUpToDate>
  <CharactersWithSpaces>4510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2019-03-22T01:10:00Z</dcterms:created>
  <dc:creator>11111</dc:creator>
  <cp:lastModifiedBy>小米</cp:lastModifiedBy>
  <cp:lastPrinted>2018-08-31T09:54:00Z</cp:lastPrinted>
  <dcterms:modified xsi:type="dcterms:W3CDTF">2020-07-31T05:05:26Z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